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6.png" ContentType="image/png"/>
  <Override PartName="/word/media/rId99.png" ContentType="image/png"/>
  <Override PartName="/word/media/rId93.png" ContentType="image/png"/>
  <Override PartName="/word/media/rId114.pdf" ContentType="application/pdf"/>
  <Override PartName="/word/media/rId131.pdf" ContentType="application/pdf"/>
  <Override PartName="/word/media/rId136.pdf" ContentType="application/pdf"/>
  <Override PartName="/word/media/rId141.pdf" ContentType="application/pdf"/>
  <Override PartName="/word/media/rId233.png" ContentType="image/png"/>
  <Override PartName="/word/media/rId236.png" ContentType="image/png"/>
  <Override PartName="/word/media/rId230.png" ContentType="image/png"/>
  <Override PartName="/word/media/rId248.png" ContentType="image/png"/>
  <Override PartName="/word/media/rId262.png" ContentType="image/png"/>
  <Override PartName="/word/media/rId267.png" ContentType="image/png"/>
  <Override PartName="/word/media/rId397.png" ContentType="image/png"/>
  <Override PartName="/word/media/rId403.png" ContentType="image/png"/>
  <Override PartName="/word/media/rId400.png" ContentType="image/png"/>
  <Override PartName="/word/media/rId425.png" ContentType="image/png"/>
  <Override PartName="/word/media/rId432.png" ContentType="image/png"/>
  <Override PartName="/word/media/rId438.png" ContentType="image/png"/>
  <Override PartName="/word/media/rId549.png" ContentType="image/png"/>
  <Override PartName="/word/media/rId552.png" ContentType="image/png"/>
  <Override PartName="/word/media/rId546.png" ContentType="image/png"/>
  <Override PartName="/word/media/rId570.png" ContentType="image/png"/>
  <Override PartName="/word/media/rId574.png" ContentType="image/png"/>
  <Override PartName="/word/media/rId5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0"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(Y. 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2019a)</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89" w:name="references"/>
    <w:p>
      <w:pPr>
        <w:pStyle w:val="Heading2"/>
      </w:pPr>
      <w:r>
        <w:t xml:space="preserve">References</w:t>
      </w:r>
    </w:p>
    <w:bookmarkStart w:id="88"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2"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62"/>
    <w:bookmarkStart w:id="64"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64"/>
    <w:bookmarkStart w:id="66"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66"/>
    <w:bookmarkStart w:id="68"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68"/>
    <w:bookmarkStart w:id="70"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0"/>
    <w:bookmarkStart w:id="72"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2"/>
    <w:bookmarkStart w:id="74"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4"/>
    <w:bookmarkStart w:id="76"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6"/>
    <w:bookmarkStart w:id="78"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8"/>
    <w:bookmarkStart w:id="80"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
    <w:bookmarkStart w:id="81"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
    <w:bookmarkStart w:id="83"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3"/>
    <w:bookmarkStart w:id="85"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5"/>
    <w:bookmarkStart w:id="87"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7"/>
    <w:bookmarkEnd w:id="88"/>
    <w:bookmarkEnd w:id="89"/>
    <w:bookmarkEnd w:id="90"/>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1">
        <w:r>
          <w:rPr>
            <w:rStyle w:val="Hyperlink"/>
          </w:rPr>
          <w:t xml:space="preserve">DOI</w:t>
        </w:r>
      </w:hyperlink>
    </w:p>
    <w:bookmarkStart w:id="92"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2"/>
    <w:bookmarkStart w:id="102"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4" name="Picture"/>
            <a:graphic>
              <a:graphicData uri="http://schemas.openxmlformats.org/drawingml/2006/picture">
                <pic:pic>
                  <pic:nvPicPr>
                    <pic:cNvPr descr="2.Chapter/../img/qrcode_supp2.png" id="95" name="Picture"/>
                    <pic:cNvPicPr>
                      <a:picLocks noChangeArrowheads="1" noChangeAspect="1"/>
                    </pic:cNvPicPr>
                  </pic:nvPicPr>
                  <pic:blipFill>
                    <a:blip r:embed="rId9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7" name="Picture"/>
            <a:graphic>
              <a:graphicData uri="http://schemas.openxmlformats.org/drawingml/2006/picture">
                <pic:pic>
                  <pic:nvPicPr>
                    <pic:cNvPr descr="2.Chapter/../img/qrcode_chap2_repo.png" id="98" name="Picture"/>
                    <pic:cNvPicPr>
                      <a:picLocks noChangeArrowheads="1" noChangeAspect="1"/>
                    </pic:cNvPicPr>
                  </pic:nvPicPr>
                  <pic:blipFill>
                    <a:blip r:embed="rId96"/>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0" name="Picture"/>
            <a:graphic>
              <a:graphicData uri="http://schemas.openxmlformats.org/drawingml/2006/picture">
                <pic:pic>
                  <pic:nvPicPr>
                    <pic:cNvPr descr="2.Chapter/../img/qrcode_els_repo.png" id="101" name="Picture"/>
                    <pic:cNvPicPr>
                      <a:picLocks noChangeArrowheads="1" noChangeAspect="1"/>
                    </pic:cNvPicPr>
                  </pic:nvPicPr>
                  <pic:blipFill>
                    <a:blip r:embed="rId99"/>
                    <a:stretch>
                      <a:fillRect/>
                    </a:stretch>
                  </pic:blipFill>
                  <pic:spPr bwMode="auto">
                    <a:xfrm>
                      <a:off x="0" y="0"/>
                      <a:ext cx="1188720" cy="1188720"/>
                    </a:xfrm>
                    <a:prstGeom prst="rect">
                      <a:avLst/>
                    </a:prstGeom>
                    <a:noFill/>
                    <a:ln w="9525">
                      <a:noFill/>
                      <a:headEnd/>
                      <a:tailEnd/>
                    </a:ln>
                  </pic:spPr>
                </pic:pic>
              </a:graphicData>
            </a:graphic>
          </wp:inline>
        </w:drawing>
      </w:r>
    </w:p>
    <w:bookmarkEnd w:id="102"/>
    <w:bookmarkStart w:id="103" w:name="keywords"/>
    <w:p>
      <w:pPr>
        <w:pStyle w:val="Heading2"/>
      </w:pPr>
      <w:r>
        <w:t xml:space="preserve">Keywords</w:t>
      </w:r>
    </w:p>
    <w:p>
      <w:pPr>
        <w:pStyle w:val="FirstParagraph"/>
      </w:pPr>
      <w:r>
        <w:t xml:space="preserve">Early-life stress; Internalizing symptoms; Adiposity; Comorbidity; Generation R; ALSPAC.</w:t>
      </w:r>
    </w:p>
    <w:bookmarkEnd w:id="103"/>
    <w:bookmarkStart w:id="104"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4"/>
    <w:bookmarkStart w:id="105"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5"/>
    <w:bookmarkStart w:id="128"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8"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7"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7"/>
    <w:bookmarkEnd w:id="108"/>
    <w:bookmarkStart w:id="120" w:name="measures"/>
    <w:p>
      <w:pPr>
        <w:pStyle w:val="Heading3"/>
      </w:pPr>
      <w:r>
        <w:t xml:space="preserve">Measures</w:t>
      </w:r>
    </w:p>
    <w:bookmarkStart w:id="111"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09">
        <w:r>
          <w:rPr>
            <w:rStyle w:val="Hyperlink"/>
            <w:i/>
            <w:iCs/>
          </w:rPr>
          <w:t xml:space="preserve">Supplement 1</w:t>
        </w:r>
      </w:hyperlink>
      <w:r>
        <w:t xml:space="preserve"> </w:t>
      </w:r>
      <w:r>
        <w:t xml:space="preserve">(see also the score’s</w:t>
      </w:r>
      <w:r>
        <w:t xml:space="preserve"> </w:t>
      </w:r>
      <w:hyperlink r:id="rId110">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1"/>
    <w:bookmarkStart w:id="112"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2"/>
    <w:bookmarkStart w:id="113"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3"/>
    <w:bookmarkStart w:id="118"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7" w:name="fig-2.1"/>
          <w:p>
            <w:pPr>
              <w:pStyle w:val="Compact"/>
              <w:jc w:val="center"/>
            </w:pPr>
            <w:r>
              <w:drawing>
                <wp:inline>
                  <wp:extent cx="5943600" cy="7588546"/>
                  <wp:effectExtent b="0" l="0" r="0" t="0"/>
                  <wp:docPr descr="" title="" id="115" name="Picture"/>
                  <a:graphic>
                    <a:graphicData uri="http://schemas.openxmlformats.org/drawingml/2006/picture">
                      <pic:pic>
                        <pic:nvPicPr>
                          <pic:cNvPr descr="2.Chapter/Figures/F1_ELStime.pdf" id="116" name="Picture"/>
                          <pic:cNvPicPr>
                            <a:picLocks noChangeArrowheads="1" noChangeAspect="1"/>
                          </pic:cNvPicPr>
                        </pic:nvPicPr>
                        <pic:blipFill>
                          <a:blip r:embed="rId114"/>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7"/>
        </w:tc>
      </w:tr>
    </w:tbl>
    <w:bookmarkEnd w:id="118"/>
    <w:bookmarkStart w:id="119"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09">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3</w:t>
        </w:r>
      </w:hyperlink>
      <w:r>
        <w:t xml:space="preserve"> </w:t>
      </w:r>
      <w:r>
        <w:t xml:space="preserve">for additional information on covariates measurement and distribution.</w:t>
      </w:r>
    </w:p>
    <w:bookmarkEnd w:id="119"/>
    <w:bookmarkEnd w:id="120"/>
    <w:bookmarkStart w:id="127"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1">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09">
        <w:r>
          <w:rPr>
            <w:rStyle w:val="Hyperlink"/>
            <w:i/>
            <w:iCs/>
          </w:rPr>
          <w:t xml:space="preserve">Supplement 4</w:t>
        </w:r>
      </w:hyperlink>
      <w:r>
        <w:t xml:space="preserve"> </w:t>
      </w:r>
      <w:r>
        <w:t xml:space="preserve">and</w:t>
      </w:r>
      <w:r>
        <w:t xml:space="preserve"> </w:t>
      </w:r>
      <w:hyperlink r:id="rId122">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3"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(A. Wang &amp; Arah, 2015)</w:t>
      </w:r>
      <w:r>
        <w:t xml:space="preserve">. The method is described in detail in online</w:t>
      </w:r>
      <w:r>
        <w:t xml:space="preserve"> </w:t>
      </w:r>
      <w:hyperlink r:id="rId109">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3"/>
    <w:bookmarkStart w:id="124"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4"/>
    <w:bookmarkStart w:id="125"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5"/>
    <w:bookmarkStart w:id="126"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6"/>
    <w:bookmarkEnd w:id="127"/>
    <w:bookmarkEnd w:id="128"/>
    <w:bookmarkStart w:id="150" w:name="results"/>
    <w:p>
      <w:pPr>
        <w:pStyle w:val="Heading2"/>
      </w:pPr>
      <w:r>
        <w:t xml:space="preserve">2.3 Results</w:t>
      </w:r>
    </w:p>
    <w:bookmarkStart w:id="130"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29"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29"/>
          <w:p/>
        </w:tc>
      </w:tr>
    </w:tbl>
    <w:bookmarkEnd w:id="130"/>
    <w:bookmarkStart w:id="135"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2">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4" w:name="fig-2.2"/>
          <w:p>
            <w:pPr>
              <w:pStyle w:val="Compact"/>
              <w:jc w:val="center"/>
            </w:pPr>
            <w:r>
              <w:drawing>
                <wp:inline>
                  <wp:extent cx="5943600" cy="8410943"/>
                  <wp:effectExtent b="0" l="0" r="0" t="0"/>
                  <wp:docPr descr="" title="" id="132" name="Picture"/>
                  <a:graphic>
                    <a:graphicData uri="http://schemas.openxmlformats.org/drawingml/2006/picture">
                      <pic:pic>
                        <pic:nvPicPr>
                          <pic:cNvPr descr="2.Chapter/Figures/F2_CMAres.pdf" id="133" name="Picture"/>
                          <pic:cNvPicPr>
                            <a:picLocks noChangeArrowheads="1" noChangeAspect="1"/>
                          </pic:cNvPicPr>
                        </pic:nvPicPr>
                        <pic:blipFill>
                          <a:blip r:embed="rId13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4"/>
        </w:tc>
      </w:tr>
    </w:tbl>
    <w:bookmarkEnd w:id="135"/>
    <w:bookmarkStart w:id="140"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2">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39" w:name="fig-2.3"/>
          <w:p>
            <w:pPr>
              <w:pStyle w:val="Compact"/>
              <w:jc w:val="center"/>
            </w:pPr>
            <w:r>
              <w:drawing>
                <wp:inline>
                  <wp:extent cx="5943600" cy="8410943"/>
                  <wp:effectExtent b="0" l="0" r="0" t="0"/>
                  <wp:docPr descr="" title="" id="137" name="Picture"/>
                  <a:graphic>
                    <a:graphicData uri="http://schemas.openxmlformats.org/drawingml/2006/picture">
                      <pic:pic>
                        <pic:nvPicPr>
                          <pic:cNvPr descr="2.Chapter/Figures/F3_regress.pdf" id="138" name="Picture"/>
                          <pic:cNvPicPr>
                            <a:picLocks noChangeArrowheads="1" noChangeAspect="1"/>
                          </pic:cNvPicPr>
                        </pic:nvPicPr>
                        <pic:blipFill>
                          <a:blip r:embed="rId136"/>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39"/>
        </w:tc>
      </w:tr>
    </w:tbl>
    <w:bookmarkEnd w:id="140"/>
    <w:bookmarkStart w:id="145"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2">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4" w:name="fig-2.4"/>
          <w:p>
            <w:pPr>
              <w:pStyle w:val="Compact"/>
              <w:jc w:val="center"/>
            </w:pPr>
            <w:r>
              <w:drawing>
                <wp:inline>
                  <wp:extent cx="5943600" cy="8410943"/>
                  <wp:effectExtent b="0" l="0" r="0" t="0"/>
                  <wp:docPr descr="" title="" id="142" name="Picture"/>
                  <a:graphic>
                    <a:graphicData uri="http://schemas.openxmlformats.org/drawingml/2006/picture">
                      <pic:pic>
                        <pic:nvPicPr>
                          <pic:cNvPr descr="2.Chapter/Figures/F4_comorb.pdf" id="143" name="Picture"/>
                          <pic:cNvPicPr>
                            <a:picLocks noChangeArrowheads="1" noChangeAspect="1"/>
                          </pic:cNvPicPr>
                        </pic:nvPicPr>
                        <pic:blipFill>
                          <a:blip r:embed="rId14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4"/>
        </w:tc>
      </w:tr>
    </w:tbl>
    <w:bookmarkEnd w:id="145"/>
    <w:bookmarkStart w:id="149" w:name="follow-up-analyses"/>
    <w:p>
      <w:pPr>
        <w:pStyle w:val="Heading3"/>
      </w:pPr>
      <w:r>
        <w:t xml:space="preserve">Follow-up analyses</w:t>
      </w:r>
    </w:p>
    <w:bookmarkStart w:id="146"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09">
        <w:r>
          <w:rPr>
            <w:rStyle w:val="Hyperlink"/>
            <w:i/>
            <w:iCs/>
          </w:rPr>
          <w:t xml:space="preserve">Figures S2-S4</w:t>
        </w:r>
      </w:hyperlink>
      <w:r>
        <w:t xml:space="preserve"> </w:t>
      </w:r>
      <w:r>
        <w:t xml:space="preserve">and</w:t>
      </w:r>
      <w:r>
        <w:t xml:space="preserve"> </w:t>
      </w:r>
      <w:hyperlink r:id="rId122">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09">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2">
        <w:r>
          <w:rPr>
            <w:rStyle w:val="Hyperlink"/>
            <w:i/>
            <w:iCs/>
          </w:rPr>
          <w:t xml:space="preserve">Table S10</w:t>
        </w:r>
      </w:hyperlink>
      <w:r>
        <w:t xml:space="preserve"> </w:t>
      </w:r>
      <w:r>
        <w:t xml:space="preserve">and</w:t>
      </w:r>
      <w:r>
        <w:t xml:space="preserve"> </w:t>
      </w:r>
      <w:hyperlink r:id="rId109">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6"/>
    <w:bookmarkStart w:id="147"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09">
        <w:r>
          <w:rPr>
            <w:rStyle w:val="Hyperlink"/>
            <w:i/>
            <w:iCs/>
          </w:rPr>
          <w:t xml:space="preserve">Figure S6</w:t>
        </w:r>
      </w:hyperlink>
      <w:r>
        <w:t xml:space="preserve"> </w:t>
      </w:r>
      <w:r>
        <w:t xml:space="preserve">and</w:t>
      </w:r>
      <w:r>
        <w:t xml:space="preserve"> </w:t>
      </w:r>
      <w:hyperlink r:id="rId122">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09">
        <w:r>
          <w:rPr>
            <w:rStyle w:val="Hyperlink"/>
            <w:i/>
            <w:iCs/>
          </w:rPr>
          <w:t xml:space="preserve">Figure S7</w:t>
        </w:r>
      </w:hyperlink>
      <w:r>
        <w:t xml:space="preserve"> </w:t>
      </w:r>
      <w:r>
        <w:t xml:space="preserve">and</w:t>
      </w:r>
      <w:r>
        <w:t xml:space="preserve"> </w:t>
      </w:r>
      <w:hyperlink r:id="rId122">
        <w:r>
          <w:rPr>
            <w:rStyle w:val="Hyperlink"/>
            <w:i/>
            <w:iCs/>
          </w:rPr>
          <w:t xml:space="preserve">Table S12</w:t>
        </w:r>
      </w:hyperlink>
      <w:r>
        <w:t xml:space="preserve">, available online).</w:t>
      </w:r>
    </w:p>
    <w:bookmarkEnd w:id="147"/>
    <w:bookmarkStart w:id="148"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09">
        <w:r>
          <w:rPr>
            <w:rStyle w:val="Hyperlink"/>
            <w:i/>
            <w:iCs/>
          </w:rPr>
          <w:t xml:space="preserve">Figure S8</w:t>
        </w:r>
      </w:hyperlink>
      <w:r>
        <w:t xml:space="preserve"> </w:t>
      </w:r>
      <w:r>
        <w:t xml:space="preserve">and</w:t>
      </w:r>
      <w:r>
        <w:t xml:space="preserve"> </w:t>
      </w:r>
      <w:hyperlink r:id="rId122">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09">
        <w:r>
          <w:rPr>
            <w:rStyle w:val="Hyperlink"/>
            <w:i/>
            <w:iCs/>
          </w:rPr>
          <w:t xml:space="preserve">Figure S9</w:t>
        </w:r>
      </w:hyperlink>
      <w:r>
        <w:t xml:space="preserve"> </w:t>
      </w:r>
      <w:r>
        <w:t xml:space="preserve">and</w:t>
      </w:r>
      <w:r>
        <w:t xml:space="preserve"> </w:t>
      </w:r>
      <w:hyperlink r:id="rId122">
        <w:r>
          <w:rPr>
            <w:rStyle w:val="Hyperlink"/>
            <w:i/>
            <w:iCs/>
          </w:rPr>
          <w:t xml:space="preserve">Table S16</w:t>
        </w:r>
      </w:hyperlink>
      <w:r>
        <w:t xml:space="preserve">, available online). None of the main conclusions was impacted by FDR correction.</w:t>
      </w:r>
    </w:p>
    <w:bookmarkEnd w:id="148"/>
    <w:bookmarkEnd w:id="149"/>
    <w:bookmarkEnd w:id="150"/>
    <w:bookmarkStart w:id="151"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1"/>
    <w:bookmarkStart w:id="226" w:name="references-1"/>
    <w:p>
      <w:pPr>
        <w:pStyle w:val="Heading2"/>
      </w:pPr>
      <w:r>
        <w:t xml:space="preserve">References</w:t>
      </w:r>
    </w:p>
    <w:bookmarkStart w:id="225" w:name="refs--2"/>
    <w:bookmarkStart w:id="152"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2"/>
    <w:bookmarkStart w:id="153"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3"/>
    <w:bookmarkStart w:id="154"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4"/>
    <w:bookmarkStart w:id="155"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5"/>
    <w:bookmarkStart w:id="157"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157"/>
    <w:bookmarkStart w:id="159"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159"/>
    <w:bookmarkStart w:id="161"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161"/>
    <w:bookmarkStart w:id="163"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163"/>
    <w:bookmarkStart w:id="165"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165"/>
    <w:bookmarkStart w:id="167"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167"/>
    <w:bookmarkStart w:id="168"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8"/>
    <w:bookmarkStart w:id="17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170"/>
    <w:bookmarkStart w:id="172"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172"/>
    <w:bookmarkStart w:id="174"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174"/>
    <w:bookmarkStart w:id="176"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176"/>
    <w:bookmarkStart w:id="178"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178"/>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78"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0">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09">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72" w:name="results-1"/>
    <w:p>
      <w:pPr>
        <w:pStyle w:val="Heading2"/>
      </w:pPr>
      <w:r>
        <w:t xml:space="preserve">3.3 Results</w:t>
      </w:r>
    </w:p>
    <w:bookmarkStart w:id="261"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5">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0"/>
          <w:p/>
        </w:tc>
      </w:tr>
    </w:tbl>
    <w:bookmarkEnd w:id="261"/>
    <w:bookmarkStart w:id="266" w:name="main-analyses-1"/>
    <w:p>
      <w:pPr>
        <w:pStyle w:val="Heading3"/>
      </w:pPr>
      <w:r>
        <w:t xml:space="preserve">Main analyses</w:t>
      </w:r>
    </w:p>
    <w:p>
      <w:pPr>
        <w:pStyle w:val="FirstParagraph"/>
      </w:pPr>
      <w:r>
        <w:t xml:space="preserve">We did not find evidence in support of any of the hypothesised moderation effects (</w:t>
      </w:r>
      <w:hyperlink r:id="rId255">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5">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3.2"/>
          <w:p>
            <w:pPr>
              <w:pStyle w:val="Compact"/>
              <w:jc w:val="center"/>
            </w:pPr>
            <w:r>
              <w:drawing>
                <wp:inline>
                  <wp:extent cx="5943600" cy="5052060"/>
                  <wp:effectExtent b="0" l="0" r="0" t="0"/>
                  <wp:docPr descr="" title="" id="263" name="Picture"/>
                  <a:graphic>
                    <a:graphicData uri="http://schemas.openxmlformats.org/drawingml/2006/picture">
                      <pic:pic>
                        <pic:nvPicPr>
                          <pic:cNvPr descr="3.Chapter/Figures/F2_mainres.png" id="264" name="Picture"/>
                          <pic:cNvPicPr>
                            <a:picLocks noChangeArrowheads="1" noChangeAspect="1"/>
                          </pic:cNvPicPr>
                        </pic:nvPicPr>
                        <pic:blipFill>
                          <a:blip r:embed="rId262"/>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5"/>
        </w:tc>
      </w:tr>
    </w:tbl>
    <w:bookmarkEnd w:id="266"/>
    <w:bookmarkStart w:id="271"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5">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5">
        <w:r>
          <w:rPr>
            <w:rStyle w:val="Hyperlink"/>
            <w:i/>
            <w:iCs/>
          </w:rPr>
          <w:t xml:space="preserve">Supplementary Table S5</w:t>
        </w:r>
      </w:hyperlink>
      <w:r>
        <w:t xml:space="preserve">), nor when lifestyle factors were dichotomized into adherence and non-adherence to international guidelines (</w:t>
      </w:r>
      <w:hyperlink r:id="rId255">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4">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5">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5">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3.3"/>
          <w:p>
            <w:pPr>
              <w:pStyle w:val="Compact"/>
              <w:jc w:val="center"/>
            </w:pPr>
            <w:r>
              <w:drawing>
                <wp:inline>
                  <wp:extent cx="5943600" cy="8915400"/>
                  <wp:effectExtent b="0" l="0" r="0" t="0"/>
                  <wp:docPr descr="" title="" id="268" name="Picture"/>
                  <a:graphic>
                    <a:graphicData uri="http://schemas.openxmlformats.org/drawingml/2006/picture">
                      <pic:pic>
                        <pic:nvPicPr>
                          <pic:cNvPr descr="3.Chapter/Figures/F3_lineares.png" id="269" name="Picture"/>
                          <pic:cNvPicPr>
                            <a:picLocks noChangeArrowheads="1" noChangeAspect="1"/>
                          </pic:cNvPicPr>
                        </pic:nvPicPr>
                        <pic:blipFill>
                          <a:blip r:embed="rId267"/>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0"/>
        </w:tc>
      </w:tr>
    </w:tbl>
    <w:bookmarkEnd w:id="271"/>
    <w:bookmarkEnd w:id="272"/>
    <w:bookmarkStart w:id="274"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3"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3"/>
    <w:bookmarkEnd w:id="274"/>
    <w:bookmarkStart w:id="377" w:name="references-2"/>
    <w:p>
      <w:pPr>
        <w:pStyle w:val="Heading2"/>
      </w:pPr>
      <w:r>
        <w:t xml:space="preserve">References</w:t>
      </w:r>
    </w:p>
    <w:bookmarkStart w:id="376" w:name="refs--3"/>
    <w:bookmarkStart w:id="276"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276"/>
    <w:bookmarkStart w:id="277"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7"/>
    <w:bookmarkStart w:id="278"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8"/>
    <w:bookmarkStart w:id="280"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280"/>
    <w:bookmarkStart w:id="282"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282"/>
    <w:bookmarkStart w:id="283"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283"/>
    <w:bookmarkStart w:id="285"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285"/>
    <w:bookmarkStart w:id="287"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287"/>
    <w:bookmarkStart w:id="289"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289"/>
    <w:bookmarkStart w:id="291"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291"/>
    <w:bookmarkStart w:id="293"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293"/>
    <w:bookmarkStart w:id="295"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295"/>
    <w:bookmarkStart w:id="297"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297"/>
    <w:bookmarkStart w:id="298"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298"/>
    <w:bookmarkStart w:id="299"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99"/>
    <w:bookmarkStart w:id="30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300"/>
    <w:bookmarkStart w:id="302"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302"/>
    <w:bookmarkStart w:id="304"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304"/>
    <w:bookmarkStart w:id="306"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306"/>
    <w:bookmarkStart w:id="308"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308"/>
    <w:bookmarkStart w:id="30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09"/>
    <w:bookmarkStart w:id="311"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311"/>
    <w:bookmarkStart w:id="312"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2"/>
    <w:bookmarkStart w:id="31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313"/>
    <w:bookmarkStart w:id="314"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4"/>
    <w:bookmarkStart w:id="316"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316"/>
    <w:bookmarkStart w:id="318"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318"/>
    <w:bookmarkStart w:id="320"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320"/>
    <w:bookmarkStart w:id="322"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322"/>
    <w:bookmarkStart w:id="324"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324"/>
    <w:bookmarkStart w:id="325"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5"/>
    <w:bookmarkStart w:id="327"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327"/>
    <w:bookmarkStart w:id="32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328"/>
    <w:bookmarkStart w:id="330"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330"/>
    <w:bookmarkStart w:id="332"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332"/>
    <w:bookmarkStart w:id="334"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334"/>
    <w:bookmarkStart w:id="335"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335"/>
    <w:bookmarkStart w:id="336"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6"/>
    <w:bookmarkStart w:id="338"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338"/>
    <w:bookmarkStart w:id="340"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340"/>
    <w:bookmarkStart w:id="342"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342"/>
    <w:bookmarkStart w:id="344"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344"/>
    <w:bookmarkStart w:id="345"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5"/>
    <w:bookmarkStart w:id="34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46"/>
    <w:bookmarkStart w:id="348"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348"/>
    <w:bookmarkStart w:id="350"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350"/>
    <w:bookmarkStart w:id="352"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352"/>
    <w:bookmarkStart w:id="354"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354"/>
    <w:bookmarkStart w:id="356"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356"/>
    <w:bookmarkStart w:id="357"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357"/>
    <w:bookmarkStart w:id="359"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359"/>
    <w:bookmarkStart w:id="361"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361"/>
    <w:bookmarkStart w:id="363"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363"/>
    <w:bookmarkStart w:id="365"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365"/>
    <w:bookmarkStart w:id="367"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367"/>
    <w:bookmarkStart w:id="369"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369"/>
    <w:bookmarkStart w:id="371"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371"/>
    <w:bookmarkStart w:id="373"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373"/>
    <w:bookmarkStart w:id="375"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375"/>
    <w:bookmarkEnd w:id="376"/>
    <w:bookmarkEnd w:id="377"/>
    <w:bookmarkEnd w:id="378"/>
    <w:bookmarkStart w:id="384"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79"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79"/>
    <w:bookmarkStart w:id="380" w:name="introduction-2"/>
    <w:p>
      <w:pPr>
        <w:pStyle w:val="Heading2"/>
      </w:pPr>
      <w:r>
        <w:t xml:space="preserve">4.1 Introduction</w:t>
      </w:r>
    </w:p>
    <w:bookmarkEnd w:id="380"/>
    <w:bookmarkStart w:id="381" w:name="methods-2"/>
    <w:p>
      <w:pPr>
        <w:pStyle w:val="Heading2"/>
      </w:pPr>
      <w:r>
        <w:t xml:space="preserve">4.2 Methods</w:t>
      </w:r>
    </w:p>
    <w:bookmarkEnd w:id="381"/>
    <w:bookmarkStart w:id="382" w:name="discussion-2"/>
    <w:p>
      <w:pPr>
        <w:pStyle w:val="Heading2"/>
      </w:pPr>
      <w:r>
        <w:t xml:space="preserve">4.3 Discussion</w:t>
      </w:r>
    </w:p>
    <w:bookmarkEnd w:id="382"/>
    <w:bookmarkStart w:id="383" w:name="references-3"/>
    <w:p>
      <w:pPr>
        <w:pStyle w:val="Heading2"/>
      </w:pPr>
      <w:r>
        <w:t xml:space="preserve">References</w:t>
      </w:r>
    </w:p>
    <w:bookmarkEnd w:id="383"/>
    <w:bookmarkEnd w:id="384"/>
    <w:bookmarkStart w:id="394"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5"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5"/>
    <w:bookmarkStart w:id="386"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6"/>
    <w:bookmarkStart w:id="387" w:name="methods-3"/>
    <w:p>
      <w:pPr>
        <w:pStyle w:val="Heading2"/>
      </w:pPr>
      <w:r>
        <w:t xml:space="preserve">5.2 Methods</w:t>
      </w:r>
    </w:p>
    <w:bookmarkEnd w:id="387"/>
    <w:bookmarkStart w:id="388" w:name="discussion-3"/>
    <w:p>
      <w:pPr>
        <w:pStyle w:val="Heading2"/>
      </w:pPr>
      <w:r>
        <w:t xml:space="preserve">5.3 Discussion</w:t>
      </w:r>
    </w:p>
    <w:bookmarkEnd w:id="388"/>
    <w:bookmarkStart w:id="389" w:name="references-4"/>
    <w:p>
      <w:pPr>
        <w:pStyle w:val="Heading2"/>
      </w:pPr>
      <w:r>
        <w:t xml:space="preserve">References</w:t>
      </w:r>
    </w:p>
    <w:bookmarkEnd w:id="389"/>
    <w:bookmarkStart w:id="393" w:name="bibliography--5"/>
    <w:p>
      <w:pPr>
        <w:pStyle w:val="Heading2"/>
      </w:pPr>
      <w:r>
        <w:t xml:space="preserve">References</w:t>
      </w:r>
    </w:p>
    <w:bookmarkStart w:id="392" w:name="refs--5"/>
    <w:bookmarkStart w:id="39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390"/>
    <w:bookmarkStart w:id="39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91"/>
    <w:bookmarkEnd w:id="392"/>
    <w:bookmarkEnd w:id="393"/>
    <w:bookmarkEnd w:id="394"/>
    <w:bookmarkStart w:id="543"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in press</w:t>
      </w:r>
      <w:r>
        <w:t xml:space="preserve">)</w:t>
      </w:r>
      <w:r>
        <w:t xml:space="preserve"> </w:t>
      </w:r>
      <w:r>
        <w:rPr>
          <w:i/>
          <w:iCs/>
        </w:rPr>
        <w:t xml:space="preserve">Journal of Child Psychology and Psychiatry</w:t>
      </w:r>
      <w:r>
        <w:t xml:space="preserve"> </w:t>
      </w:r>
      <w:hyperlink r:id="rId395">
        <w:r>
          <w:rPr>
            <w:rStyle w:val="Hyperlink"/>
          </w:rPr>
          <w:t xml:space="preserve">DOI</w:t>
        </w:r>
      </w:hyperlink>
    </w:p>
    <w:bookmarkStart w:id="396" w:name="abstract-4"/>
    <w:p>
      <w:pPr>
        <w:pStyle w:val="Heading2"/>
      </w:pPr>
      <w:r>
        <w:t xml:space="preserve">Abstract</w:t>
      </w:r>
    </w:p>
    <w:p>
      <w:pPr>
        <w:pStyle w:val="FirstParagraph"/>
      </w:pPr>
      <w:r>
        <w:rPr>
          <w:u w:val="single"/>
        </w:rPr>
        <w:t xml:space="preserve">Background</w:t>
      </w:r>
      <w:r>
        <w:t xml:space="preserve">: Depressive symptoms and cardio-metabolic risk factors often co-occur. However, our understanding of the potential mechanisms and temporal dynamics underlying their co-development remains elusive.</w:t>
      </w:r>
    </w:p>
    <w:p>
      <w:pPr>
        <w:pStyle w:val="BodyText"/>
      </w:pPr>
      <w:r>
        <w:rPr>
          <w:u w:val="single"/>
        </w:rPr>
        <w:t xml:space="preserve">Methods</w:t>
      </w:r>
      <w:r>
        <w:t xml:space="preserve">: This population-based cohort study examined bidirectional longitudinal associations between depressive symptoms and cardio-metabolic risk factors from age 10 to 25 years, using prospective data from the ALSPAC Study. Participants with at least one (of six) follow-up measurement for each outcome were included in the analyses. We measured depressive symptoms through self- as well as parent-reports, and assessed several cardio-metabolic risk factors (including adiposity measures, lipid profiles and inflammation).</w:t>
      </w:r>
    </w:p>
    <w:p>
      <w:pPr>
        <w:pStyle w:val="BodyText"/>
      </w:pPr>
      <w:r>
        <w:rPr>
          <w:u w:val="single"/>
        </w:rPr>
        <w:t xml:space="preserve">Results</w:t>
      </w:r>
      <w:r>
        <w:t xml:space="preserve">: Among our 7970 (47% male, 96% White) participants, we found bidirectional, within-person associations between self-reported depressive symptoms and adiposity (i.e., fat/lean mass index, but not body mass index), across the study period. Adiposity was more stable over time (</w:t>
      </w:r>
      <w:r>
        <w:rPr>
          <w:i/>
          <w:iCs/>
        </w:rPr>
        <w:t xml:space="preserve">β</w:t>
      </w:r>
      <w:r>
        <w:t xml:space="preserve"> </w:t>
      </w:r>
      <w:r>
        <w:t xml:space="preserve">[range] = 0.75 [0.54; 0.84]), compared to depressive symptoms (0.26 [0.12; 0.38]), and it had a stronger prospective (i.e., cross-lagged) association with future depressive symptoms (0.07 [0.03, 0.13]) compared to that between depressive symptom and future adiposity (0.04 [0.03, 0.06]). The magnitude of these associations reached its peak between 14 and 16 years. We did not find evidence of cross-lagged associations in either direction between depressive symptoms and waist circumference, insulin, triglycerides, LDL cholesterol or C-reactive protein.</w:t>
      </w:r>
    </w:p>
    <w:p>
      <w:pPr>
        <w:pStyle w:val="BodyText"/>
      </w:pPr>
      <w:r>
        <w:rPr>
          <w:u w:val="single"/>
        </w:rPr>
        <w:t xml:space="preserve">Conclusions</w:t>
      </w:r>
      <w:r>
        <w:t xml:space="preserve">: These findings suggest a bidirectional relationship between depressive symptoms and cardio-metabolic risk factors, particularly adiposity (i.e., fat/lean mass). Adiposity showed a stronger prospective association with future depressive symptoms, than vice versa, however their relationship revealed more reciprocal than previously thought.</w:t>
      </w:r>
    </w:p>
    <w:bookmarkEnd w:id="396"/>
    <w:bookmarkStart w:id="406" w:name="links-2"/>
    <w:p>
      <w:pPr>
        <w:pStyle w:val="Heading2"/>
      </w:pPr>
      <w:r>
        <w:t xml:space="preserve">Links</w:t>
      </w:r>
    </w:p>
    <w:p>
      <w:pPr>
        <w:pStyle w:val="FirstParagraph"/>
      </w:pPr>
      <w:r>
        <w:rPr>
          <w:b/>
          <w:bCs/>
        </w:rPr>
        <w:t xml:space="preserve">Web application</w:t>
      </w:r>
      <w:r>
        <w:t xml:space="preserve">: https://longit-comorbidity.onrender.com</w:t>
      </w:r>
      <w:r>
        <w:t xml:space="preserve"> </w:t>
      </w:r>
      <w:r>
        <w:drawing>
          <wp:inline>
            <wp:extent cx="1188720" cy="1188720"/>
            <wp:effectExtent b="0" l="0" r="0" t="0"/>
            <wp:docPr descr="" title="" id="398" name="Picture"/>
            <a:graphic>
              <a:graphicData uri="http://schemas.openxmlformats.org/drawingml/2006/picture">
                <pic:pic>
                  <pic:nvPicPr>
                    <pic:cNvPr descr="6.Chapter/../img/qrcode_chap6_app.png" id="399" name="Picture"/>
                    <pic:cNvPicPr>
                      <a:picLocks noChangeArrowheads="1" noChangeAspect="1"/>
                    </pic:cNvPicPr>
                  </pic:nvPicPr>
                  <pic:blipFill>
                    <a:blip r:embed="rId3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Supplementary materials</w:t>
      </w:r>
      <w:r>
        <w:t xml:space="preserve">: https://osf.io/wyzd8</w:t>
      </w:r>
      <w:r>
        <w:t xml:space="preserve"> </w:t>
      </w:r>
      <w:r>
        <w:drawing>
          <wp:inline>
            <wp:extent cx="1188720" cy="1188720"/>
            <wp:effectExtent b="0" l="0" r="0" t="0"/>
            <wp:docPr descr="" title="" id="401" name="Picture"/>
            <a:graphic>
              <a:graphicData uri="http://schemas.openxmlformats.org/drawingml/2006/picture">
                <pic:pic>
                  <pic:nvPicPr>
                    <pic:cNvPr descr="6.Chapter/../img/qrcode_supp6.png" id="402" name="Picture"/>
                    <pic:cNvPicPr>
                      <a:picLocks noChangeArrowheads="1" noChangeAspect="1"/>
                    </pic:cNvPicPr>
                  </pic:nvPicPr>
                  <pic:blipFill>
                    <a:blip r:embed="rId4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https://github.com/SereDef/comorb-longit-project</w:t>
      </w:r>
      <w:r>
        <w:t xml:space="preserve"> </w:t>
      </w:r>
      <w:r>
        <w:drawing>
          <wp:inline>
            <wp:extent cx="1188720" cy="1188720"/>
            <wp:effectExtent b="0" l="0" r="0" t="0"/>
            <wp:docPr descr="" title="" id="404" name="Picture"/>
            <a:graphic>
              <a:graphicData uri="http://schemas.openxmlformats.org/drawingml/2006/picture">
                <pic:pic>
                  <pic:nvPicPr>
                    <pic:cNvPr descr="6.Chapter/../img/qrcode_chap6_repo.png" id="405" name="Picture"/>
                    <pic:cNvPicPr>
                      <a:picLocks noChangeArrowheads="1" noChangeAspect="1"/>
                    </pic:cNvPicPr>
                  </pic:nvPicPr>
                  <pic:blipFill>
                    <a:blip r:embed="rId4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Pre-print</w:t>
      </w:r>
      <w:r>
        <w:t xml:space="preserve">: https://www.medrxiv.org/content/10.1101/2024.10.01.24314697v1</w:t>
      </w:r>
    </w:p>
    <w:bookmarkEnd w:id="406"/>
    <w:bookmarkStart w:id="407" w:name="keywords-2"/>
    <w:p>
      <w:pPr>
        <w:pStyle w:val="Heading2"/>
      </w:pPr>
      <w:r>
        <w:t xml:space="preserve">Keywords</w:t>
      </w:r>
    </w:p>
    <w:p>
      <w:pPr>
        <w:pStyle w:val="FirstParagraph"/>
      </w:pPr>
      <w:r>
        <w:t xml:space="preserve">Depressive symptoms; Cardio-metabolic risk; Comorbidity; Longitudinal; ALSPAC.</w:t>
      </w:r>
    </w:p>
    <w:bookmarkEnd w:id="407"/>
    <w:bookmarkStart w:id="408" w:name="abbreviations-2"/>
    <w:p>
      <w:pPr>
        <w:pStyle w:val="Heading2"/>
      </w:pPr>
      <w:r>
        <w:t xml:space="preserve">Abbreviations</w:t>
      </w:r>
    </w:p>
    <w:p>
      <w:pPr>
        <w:pStyle w:val="FirstParagraph"/>
      </w:pPr>
      <w:r>
        <w:t xml:space="preserve">Avon Longitudinal Study of Adults and Children (ALSPAC), Autoregressive Latent Trajectory Model with Structured Residuals (ALT-SR), Body Mass Index (BMI), C-reactive protein (CRP), Fat Mass Index (FMI), High- / Low-Density Lipoprotein (HDL / LDL [cholesterol]), Lean Mass Index (LMI), Random-Intercept Cross-Lag Panel Model (RI-CLPM), Short Mood and Feelings Questionnaire (SMFQ).</w:t>
      </w:r>
    </w:p>
    <w:bookmarkEnd w:id="408"/>
    <w:bookmarkStart w:id="409" w:name="introduction-4"/>
    <w:p>
      <w:pPr>
        <w:pStyle w:val="Heading2"/>
      </w:pPr>
      <w:r>
        <w:t xml:space="preserve">6.1 Introduction</w:t>
      </w:r>
    </w:p>
    <w:p>
      <w:pPr>
        <w:pStyle w:val="FirstParagraph"/>
      </w:pPr>
      <w:r>
        <w:t xml:space="preserve">Over 20% of the general population faces at least one depressive episode in their lifetime</w:t>
      </w:r>
      <w:r>
        <w:t xml:space="preserve"> </w:t>
      </w:r>
      <w:r>
        <w:t xml:space="preserve">(Gutiérrez-Rojas et al., 2020)</w:t>
      </w:r>
      <w:r>
        <w:t xml:space="preserve"> </w:t>
      </w:r>
      <w:r>
        <w:t xml:space="preserve">and a growing number of adolescents experience depressive symptoms before the age of 20 years</w:t>
      </w:r>
      <w:r>
        <w:t xml:space="preserve"> </w:t>
      </w:r>
      <w:r>
        <w:t xml:space="preserve">(Keeley, 2021; Patalay &amp; Gage, 2019b)</w:t>
      </w:r>
      <w:r>
        <w:t xml:space="preserve">. Concurrently, the prevalence of child obesity and related cardio-metabolic risk factors is alarmingly high, affecting one in three children and almost half of young adults</w:t>
      </w:r>
      <w:r>
        <w:t xml:space="preserve"> </w:t>
      </w:r>
      <w:r>
        <w:t xml:space="preserve">(NCD-RisC, 2017; WHO, 2022)</w:t>
      </w:r>
      <w:r>
        <w:t xml:space="preserve">. Moreover, depressive symptoms and cardio-metabolic risk factors often co-occur</w:t>
      </w:r>
      <w:r>
        <w:t xml:space="preserve"> </w:t>
      </w:r>
      <w:r>
        <w:t xml:space="preserve">(Anwar et al., 2018; Blasco et al., 2020; Gutiérrez-Rojas et al., 2020)</w:t>
      </w:r>
      <w:r>
        <w:t xml:space="preserve">. For example, a large meta-analysis showed that people suffering from depression had a 58% higher risk of developing obesity, while individuals with obesity had a 55% elevated risk of developing depression, compared to the general population</w:t>
      </w:r>
      <w:r>
        <w:t xml:space="preserve"> </w:t>
      </w:r>
      <w:r>
        <w:t xml:space="preserve">(Luppino et al., 2010)</w:t>
      </w:r>
      <w:r>
        <w:t xml:space="preserve">.</w:t>
      </w:r>
    </w:p>
    <w:p>
      <w:pPr>
        <w:pStyle w:val="BodyText"/>
      </w:pPr>
      <w:r>
        <w:t xml:space="preserve">Several potential mechanisms have been proposed to explain this observed comorbidity, both in adults</w:t>
      </w:r>
      <w:r>
        <w:t xml:space="preserve"> </w:t>
      </w:r>
      <w:r>
        <w:t xml:space="preserve">(Carey et al., 2014; Milaneschi et al., 2019)</w:t>
      </w:r>
      <w:r>
        <w:t xml:space="preserve"> </w:t>
      </w:r>
      <w:r>
        <w:t xml:space="preserve">and children</w:t>
      </w:r>
      <w:r>
        <w:t xml:space="preserve"> </w:t>
      </w:r>
      <w:r>
        <w:t xml:space="preserve">(Defina et al., 2023; Sutaria et al., 2019)</w:t>
      </w:r>
      <w:r>
        <w:t xml:space="preserve">. However, scientific efforts to empirically model the co-developmental processes that may underlie this comorbidity (i.e., temporal precedence and/or bidirectional relationships) have been sparse, inconsistent, and mostly focused on adult or aging populations</w:t>
      </w:r>
      <w:r>
        <w:t xml:space="preserve"> </w:t>
      </w:r>
      <w:r>
        <w:t xml:space="preserve">(Forman-Hoffman et al., 2007; Konttinen et al., 2014)</w:t>
      </w:r>
      <w:r>
        <w:t xml:space="preserve"> </w:t>
      </w:r>
      <w:r>
        <w:t xml:space="preserve">and/or genetic liabilities</w:t>
      </w:r>
      <w:r>
        <w:t xml:space="preserve"> </w:t>
      </w:r>
      <w:r>
        <w:t xml:space="preserve">(Chen et al., 2023; Jokela &amp; Laakasuo, 2023)</w:t>
      </w:r>
      <w:r>
        <w:t xml:space="preserve">.</w:t>
      </w:r>
    </w:p>
    <w:p>
      <w:pPr>
        <w:pStyle w:val="BodyText"/>
      </w:pPr>
      <w:r>
        <w:t xml:space="preserve">In the pediatric literature, a small number of studies have investigated longitudinal relationships between body mass index (BMI) and internalizing / emotional problems (an early marker of depressive symptoms)</w:t>
      </w:r>
      <w:r>
        <w:t xml:space="preserve"> </w:t>
      </w:r>
      <w:r>
        <w:t xml:space="preserve">(Bradley et al., 2008; Jansen et al., 2013; Patalay &amp; Hardman, 2019; N. Zhou et al., 2022)</w:t>
      </w:r>
      <w:r>
        <w:t xml:space="preserve">. The majority of these studies found higher BMI to precede increases in internalizing symptoms, but not the other way around</w:t>
      </w:r>
      <w:r>
        <w:t xml:space="preserve"> </w:t>
      </w:r>
      <w:r>
        <w:t xml:space="preserve">(Bradley et al., 2008; Jansen et al., 2013; Patalay &amp; Hardman, 2019)</w:t>
      </w:r>
      <w:r>
        <w:t xml:space="preserve">, in line with some (but not all, e.g.</w:t>
      </w:r>
      <w:r>
        <w:t xml:space="preserve"> </w:t>
      </w:r>
      <w:r>
        <w:t xml:space="preserve">Chen et al. (2023)</w:t>
      </w:r>
      <w:r>
        <w:t xml:space="preserve">) Mendelian randomization studies investigating the causal effect of obesity on depression</w:t>
      </w:r>
      <w:r>
        <w:t xml:space="preserve"> </w:t>
      </w:r>
      <w:r>
        <w:t xml:space="preserve">(Jokela &amp; Laakasuo, 2023)</w:t>
      </w:r>
      <w:r>
        <w:t xml:space="preserve">. A more recent investigation however, did identify reciprocal relationships between BMI and internalizing symptoms, by employing more advanced modeling frameworks, capable of decomposing between- and within-person variances over time</w:t>
      </w:r>
      <w:r>
        <w:t xml:space="preserve"> </w:t>
      </w:r>
      <w:r>
        <w:t xml:space="preserve">(N. Zhou et al., 2022)</w:t>
      </w:r>
      <w:r>
        <w:t xml:space="preserve">.</w:t>
      </w:r>
    </w:p>
    <w:p>
      <w:pPr>
        <w:pStyle w:val="BodyText"/>
      </w:pPr>
      <w:r>
        <w:t xml:space="preserve">Importantly, while changes in fat mass are hypothesized to be a key mechanism in these studies, they rely exclusively on BMI measures, which cannot discriminate between fat mass and lean (e.g. muscle) mass, and are thus a suboptimal measure of cardio-metabolic risk</w:t>
      </w:r>
      <w:r>
        <w:t xml:space="preserve"> </w:t>
      </w:r>
      <w:r>
        <w:t xml:space="preserve">(Dencker et al., 2007; Liu et al., 2013; Vanderwall et al., 2017)</w:t>
      </w:r>
      <w:r>
        <w:t xml:space="preserve">. Moreover, existing evidence largely relies on parental reports of depressive symptoms, which may be less sensitive compared to self-reports</w:t>
      </w:r>
      <w:r>
        <w:t xml:space="preserve"> </w:t>
      </w:r>
      <w:r>
        <w:t xml:space="preserve">(Cohen et al., 2019)</w:t>
      </w:r>
      <w:r>
        <w:t xml:space="preserve">. Finally, these studies only investigated relatively short follow-up periods and early developmental windows (i.e., 1 to 5 years, from childhood to early adolescence), leaving the period between adolescence to young adulthood, which is when these conditions typically find their onset, largely unexplored.</w:t>
      </w:r>
    </w:p>
    <w:p>
      <w:pPr>
        <w:pStyle w:val="BodyText"/>
      </w:pPr>
      <w:r>
        <w:t xml:space="preserve">To address these gaps, we aimed to characterize the temporal dynamics underlying the (co-)development of depressive symptoms and cardio-metabolic risk as they unfold jointly across 15 years, from the age of 10 to 25 years. We investigated several cardio-metabolic risk factors (including total fat and lean mass) and multi-informant reports on depressive symptoms.</w:t>
      </w:r>
    </w:p>
    <w:p>
      <w:pPr>
        <w:pStyle w:val="BodyText"/>
      </w:pPr>
      <w:r>
        <w:t xml:space="preserve">In the spirit of open science, we also provide an open-source interactive web-application that can be used, alongside this article, to flexibly explore our results and verify their robustness across multiple outcomes and analytical choices.</w:t>
      </w:r>
    </w:p>
    <w:bookmarkEnd w:id="409"/>
    <w:bookmarkStart w:id="424" w:name="methods-4"/>
    <w:p>
      <w:pPr>
        <w:pStyle w:val="Heading2"/>
      </w:pPr>
      <w:r>
        <w:t xml:space="preserve">6.2 Methods</w:t>
      </w:r>
    </w:p>
    <w:bookmarkStart w:id="415" w:name="sample-and-measures"/>
    <w:p>
      <w:pPr>
        <w:pStyle w:val="Heading3"/>
      </w:pPr>
      <w:r>
        <w:t xml:space="preserve">Sample and measures</w:t>
      </w:r>
    </w:p>
    <w:p>
      <w:pPr>
        <w:pStyle w:val="FirstParagraph"/>
      </w:pPr>
      <w:r>
        <w:t xml:space="preserve">This study is based on data from the Avon Longitudinal Study of Parents and Children (ALSPAC). Pregnant women resident in Avon (UK) with expected delivery dates between 1st April 1991 and 31st December 1992 were invited to take part in the study. The initial number of pregnancies enrolled was 14,541, with 13,988 children who were alive at 1 year of age. When children were approximately 7 years old, additional eligible cases were re-invited, resulting in a total sample of 15,447 pregnancies and 14,901 children who were alive at 1 year of age</w:t>
      </w:r>
      <w:r>
        <w:t xml:space="preserve"> </w:t>
      </w:r>
      <w:r>
        <w:t xml:space="preserve">(Boyd et al., 2012; Fraser et al., 2013; Northstone et al., 2019)</w:t>
      </w:r>
      <w:r>
        <w:t xml:space="preserve">. Study data were collected and managed using REDCap electronic data capture tools hosted at the University of Bristol</w:t>
      </w:r>
      <w:r>
        <w:t xml:space="preserve"> </w:t>
      </w:r>
      <w:r>
        <w:t xml:space="preserve">(Harris et al., 2009)</w:t>
      </w:r>
      <w:r>
        <w:t xml:space="preserve">. Please note that the ALSPAC website contains details of all the data that is available through a fully searchable data dictionary and variable search tool (http://www.bristol.ac.uk/alspac/researchers/our-data/).</w:t>
      </w:r>
    </w:p>
    <w:bookmarkStart w:id="410" w:name="ethical-considerations"/>
    <w:p>
      <w:pPr>
        <w:pStyle w:val="Heading4"/>
      </w:pPr>
      <w:r>
        <w:t xml:space="preserve">Ethical considerations</w:t>
      </w:r>
    </w:p>
    <w:p>
      <w:pPr>
        <w:pStyle w:val="FirstParagraph"/>
      </w:pPr>
      <w:r>
        <w:t xml:space="preserve">Ethical approval for the study was obtained from the ALSPAC Ethics and Law Committee and the Local Research Ethics Committees. Informed consent was obtained from participants’ parents.</w:t>
      </w:r>
    </w:p>
    <w:bookmarkEnd w:id="410"/>
    <w:bookmarkStart w:id="411" w:name="depressive-symptoms"/>
    <w:p>
      <w:pPr>
        <w:pStyle w:val="Heading4"/>
      </w:pPr>
      <w:r>
        <w:t xml:space="preserve">Depressive symptoms</w:t>
      </w:r>
    </w:p>
    <w:p>
      <w:pPr>
        <w:pStyle w:val="FirstParagraph"/>
      </w:pPr>
      <w:r>
        <w:t xml:space="preserve">Depressive symptoms were repeatedly measured using the Short Mood and Feelings Questionnaire (SMFQ)</w:t>
      </w:r>
      <w:r>
        <w:t xml:space="preserve"> </w:t>
      </w:r>
      <w:r>
        <w:t xml:space="preserve">(Angold et al., 1995; Kwong, 2019)</w:t>
      </w:r>
      <w:r>
        <w:t xml:space="preserve">. The instrument includes 13 items referred to the past two weeks and scored between 0–2 (i.e.,</w:t>
      </w:r>
      <w:r>
        <w:t xml:space="preserve"> </w:t>
      </w:r>
      <w:r>
        <w:rPr>
          <w:i/>
          <w:iCs/>
        </w:rPr>
        <w:t xml:space="preserve">“not true”</w:t>
      </w:r>
      <w:r>
        <w:t xml:space="preserve"> </w:t>
      </w:r>
      <w:r>
        <w:t xml:space="preserve">/</w:t>
      </w:r>
      <w:r>
        <w:t xml:space="preserve"> </w:t>
      </w:r>
      <w:r>
        <w:rPr>
          <w:i/>
          <w:iCs/>
        </w:rPr>
        <w:t xml:space="preserve">“sometimes true”</w:t>
      </w:r>
      <w:r>
        <w:t xml:space="preserve"> </w:t>
      </w:r>
      <w:r>
        <w:t xml:space="preserve">/</w:t>
      </w:r>
      <w:r>
        <w:t xml:space="preserve"> </w:t>
      </w:r>
      <w:r>
        <w:rPr>
          <w:i/>
          <w:iCs/>
        </w:rPr>
        <w:t xml:space="preserve">“true”</w:t>
      </w:r>
      <w:r>
        <w:t xml:space="preserve">). A summary score ranging between 0–26 was computed at each occasion, with higher scores indicating greater depressive symptoms (</w:t>
      </w:r>
      <w:hyperlink w:anchor="fig-6.1">
        <w:r>
          <w:rPr>
            <w:rStyle w:val="Hyperlink"/>
          </w:rPr>
          <w:t xml:space="preserve">Figure 6.1</w:t>
        </w:r>
      </w:hyperlink>
      <w:r>
        <w:t xml:space="preserve"> </w:t>
      </w:r>
      <w:r>
        <w:t xml:space="preserve">A). The SMFQ was administered to the child/young person on six occasions between the ages of 10 and 25 years (at the median ages of 10.6, 12.8, 13.8, 16.6, 17.8, and 23.8 years). The questionnaire was also completed by participants’ parents (most commonly mothers) on four additional occasions (when children were on average 9.6, 11.7, 31.1, and 16.7 years old) which were used in secondary analyses.</w:t>
      </w:r>
    </w:p>
    <w:bookmarkEnd w:id="411"/>
    <w:bookmarkStart w:id="413" w:name="cardio-metabolic-risk-markers"/>
    <w:p>
      <w:pPr>
        <w:pStyle w:val="Heading4"/>
      </w:pPr>
      <w:r>
        <w:t xml:space="preserve">Cardio-metabolic risk markers</w:t>
      </w:r>
    </w:p>
    <w:p>
      <w:pPr>
        <w:pStyle w:val="FirstParagraph"/>
      </w:pPr>
      <w:r>
        <w:t xml:space="preserve">The primary cardio-metabolic measure examined in this study was fat mass index (FMI;</w:t>
      </w:r>
      <w:r>
        <w:t xml:space="preserve"> </w:t>
      </w:r>
      <w:hyperlink w:anchor="fig-6.1">
        <w:r>
          <w:rPr>
            <w:rStyle w:val="Hyperlink"/>
          </w:rPr>
          <w:t xml:space="preserve">Figure 6.1</w:t>
        </w:r>
      </w:hyperlink>
      <w:r>
        <w:t xml:space="preserve"> </w:t>
      </w:r>
      <w:r>
        <w:t xml:space="preserve">B), computed as participants’ total body fat mass divided by their squared height (kg/m2). Total body fat mass was derived from whole body dual energy X-ray absorptiometry (DXA) scans at six occasions (at median ages of 9.8, 11.8, 13.8, 15.4, 17.8, and 24.5 years)</w:t>
      </w:r>
      <w:r>
        <w:t xml:space="preserve"> </w:t>
      </w:r>
      <w:r>
        <w:t xml:space="preserve">(Dangardt et al., 2019)</w:t>
      </w:r>
      <w:r>
        <w:t xml:space="preserve">.</w:t>
      </w:r>
    </w:p>
    <w:p>
      <w:pPr>
        <w:pStyle w:val="BodyText"/>
      </w:pPr>
      <w:r>
        <w:t xml:space="preserve">Ten other cardio-metabolic risk factors were further examined in secondary analyses, including lean mass index (LMI), body mass index (BMI), waist circumference, android fat mass, high-density lipoprotein (HDL) and low-density lipoprotein (LDL) cholesterol levels, triglycerides, insulin, and C-reactive protein (CRP) (see</w:t>
      </w:r>
      <w:r>
        <w:t xml:space="preserve"> </w:t>
      </w:r>
      <w:hyperlink r:id="rId412">
        <w:r>
          <w:rPr>
            <w:rStyle w:val="Hyperlink"/>
            <w:i/>
            <w:iCs/>
          </w:rPr>
          <w:t xml:space="preserve">Appendix S1</w:t>
        </w:r>
      </w:hyperlink>
      <w:r>
        <w:t xml:space="preserve">,</w:t>
      </w:r>
      <w:r>
        <w:t xml:space="preserve"> </w:t>
      </w:r>
      <w:hyperlink r:id="rId412">
        <w:r>
          <w:rPr>
            <w:rStyle w:val="Hyperlink"/>
            <w:i/>
            <w:iCs/>
          </w:rPr>
          <w:t xml:space="preserve">Figure S1</w:t>
        </w:r>
      </w:hyperlink>
      <w:r>
        <w:t xml:space="preserve">.</w:t>
      </w:r>
    </w:p>
    <w:bookmarkEnd w:id="413"/>
    <w:bookmarkStart w:id="414" w:name="sample-demographics"/>
    <w:p>
      <w:pPr>
        <w:pStyle w:val="Heading4"/>
      </w:pPr>
      <w:r>
        <w:t xml:space="preserve">Sample demographics</w:t>
      </w:r>
    </w:p>
    <w:p>
      <w:pPr>
        <w:pStyle w:val="FirstParagraph"/>
      </w:pPr>
      <w:r>
        <w:t xml:space="preserve">Participant sex was measured at birth. Participants’ parents further reported on their ethnical identity (at recruitment) and their educational attainment (when children were 5 years old).</w:t>
      </w:r>
    </w:p>
    <w:bookmarkEnd w:id="414"/>
    <w:bookmarkEnd w:id="415"/>
    <w:bookmarkStart w:id="423" w:name="statistical-analyses"/>
    <w:p>
      <w:pPr>
        <w:pStyle w:val="Heading3"/>
      </w:pPr>
      <w:r>
        <w:t xml:space="preserve">Statistical analyses</w:t>
      </w:r>
    </w:p>
    <w:p>
      <w:pPr>
        <w:pStyle w:val="FirstParagraph"/>
      </w:pPr>
      <w:r>
        <w:t xml:space="preserve">Analyses were conducted using R version 4.2.2</w:t>
      </w:r>
      <w:r>
        <w:t xml:space="preserve"> </w:t>
      </w:r>
      <w:r>
        <w:t xml:space="preserve">(R Core Team, 2021)</w:t>
      </w:r>
      <w:r>
        <w:t xml:space="preserve">; model specification and fit was implemented in lavaan (version 0.6–16)</w:t>
      </w:r>
      <w:r>
        <w:t xml:space="preserve"> </w:t>
      </w:r>
      <w:r>
        <w:t xml:space="preserve">(Rosseel, 2012)</w:t>
      </w:r>
      <w:r>
        <w:t xml:space="preserve">. All scripts are publicly available</w:t>
      </w:r>
      <w:r>
        <w:t xml:space="preserve"> </w:t>
      </w:r>
      <w:hyperlink r:id="rId416">
        <w:r>
          <w:rPr>
            <w:rStyle w:val="Hyperlink"/>
          </w:rPr>
          <w:t xml:space="preserve">here</w:t>
        </w:r>
      </w:hyperlink>
      <w:r>
        <w:t xml:space="preserve">.</w:t>
      </w:r>
    </w:p>
    <w:bookmarkStart w:id="418" w:name="data-pre-processing"/>
    <w:p>
      <w:pPr>
        <w:pStyle w:val="Heading4"/>
      </w:pPr>
      <w:r>
        <w:t xml:space="preserve">Data pre-processing</w:t>
      </w:r>
    </w:p>
    <w:p>
      <w:pPr>
        <w:pStyle w:val="FirstParagraph"/>
      </w:pPr>
      <w:r>
        <w:t xml:space="preserve">To ensure optimal model conversion, we first performed data cleaning by setting extreme outlier values (i.e., &gt; 5 interquartile ranges above the third quartile or below the first quartile) to missing. We then transformed the data to reduce skewness, using a square root transformation (for depressive symptoms scores; see</w:t>
      </w:r>
      <w:r>
        <w:t xml:space="preserve"> </w:t>
      </w:r>
      <w:hyperlink w:anchor="fig-6.1">
        <w:r>
          <w:rPr>
            <w:rStyle w:val="Hyperlink"/>
          </w:rPr>
          <w:t xml:space="preserve">Figure 6.1</w:t>
        </w:r>
      </w:hyperlink>
      <w:r>
        <w:t xml:space="preserve"> </w:t>
      </w:r>
      <w:r>
        <w:t xml:space="preserve">A) or a ln transformation (for cardio-metabolic risk markers; see</w:t>
      </w:r>
      <w:r>
        <w:t xml:space="preserve"> </w:t>
      </w:r>
      <w:hyperlink w:anchor="fig-6.1">
        <w:r>
          <w:rPr>
            <w:rStyle w:val="Hyperlink"/>
          </w:rPr>
          <w:t xml:space="preserve">Figure 6.1</w:t>
        </w:r>
      </w:hyperlink>
      <w:r>
        <w:t xml:space="preserve"> </w:t>
      </w:r>
      <w:r>
        <w:t xml:space="preserve">B). Finally, we performed min-max normalization (see</w:t>
      </w:r>
      <w:r>
        <w:t xml:space="preserve"> </w:t>
      </w:r>
      <w:hyperlink w:anchor="eq-normalization">
        <w:r>
          <w:rPr>
            <w:rStyle w:val="Hyperlink"/>
          </w:rPr>
          <w:t xml:space="preserve">Equation 6.1</w:t>
        </w:r>
      </w:hyperlink>
      <w:r>
        <w:t xml:space="preserve">) to rescale of all variables to a [0, 1] range.</w:t>
      </w:r>
    </w:p>
    <w:p>
      <w:pPr>
        <w:pStyle w:val="BodyText"/>
      </w:pPr>
      <w:bookmarkStart w:id="417" w:name="eq-normalization"/>
      <m:oMathPara>
        <m:oMathParaPr>
          <m:jc m:val="center"/>
        </m:oMathParaPr>
        <m:oMath>
          <m:sSub>
            <m:e>
              <m:r>
                <m:t>x</m:t>
              </m:r>
            </m:e>
            <m:sub>
              <m:r>
                <m:t>n</m:t>
              </m:r>
              <m:r>
                <m:t>o</m:t>
              </m:r>
              <m:r>
                <m:t>r</m:t>
              </m:r>
              <m:r>
                <m:t>m</m:t>
              </m:r>
            </m:sub>
          </m:sSub>
          <m:r>
            <m:rPr>
              <m:sty m:val="p"/>
            </m:rPr>
            <m:t>=</m:t>
          </m:r>
          <m:f>
            <m:fPr>
              <m:type m:val="bar"/>
            </m:fPr>
            <m:num>
              <m:r>
                <m:t>x</m:t>
              </m:r>
              <m:r>
                <m:rPr>
                  <m:sty m:val="p"/>
                </m:rPr>
                <m:t>−</m:t>
              </m:r>
              <m:r>
                <m:rPr>
                  <m:sty m:val="p"/>
                </m:rPr>
                <m:t>min</m:t>
              </m:r>
              <m:d>
                <m:dPr>
                  <m:begChr m:val="("/>
                  <m:sepChr m:val=""/>
                  <m:endChr m:val=")"/>
                  <m:grow/>
                </m:dPr>
                <m:e>
                  <m:r>
                    <m:t>x</m:t>
                  </m:r>
                </m:e>
              </m:d>
            </m:num>
            <m:den>
              <m:r>
                <m:rPr>
                  <m:sty m:val="p"/>
                </m:rPr>
                <m:t>max</m:t>
              </m:r>
              <m:d>
                <m:dPr>
                  <m:begChr m:val="("/>
                  <m:sepChr m:val=""/>
                  <m:endChr m:val=")"/>
                  <m:grow/>
                </m:dPr>
                <m:e>
                  <m:r>
                    <m:t>x</m:t>
                  </m:r>
                </m:e>
              </m:d>
              <m:r>
                <m:rPr>
                  <m:sty m:val="p"/>
                </m:rPr>
                <m:t>−</m:t>
              </m:r>
              <m:r>
                <m:rPr>
                  <m:sty m:val="p"/>
                </m:rPr>
                <m:t>min</m:t>
              </m:r>
              <m:d>
                <m:dPr>
                  <m:begChr m:val="("/>
                  <m:sepChr m:val=""/>
                  <m:endChr m:val=")"/>
                  <m:grow/>
                </m:dPr>
                <m:e>
                  <m:r>
                    <m:t>x</m:t>
                  </m:r>
                </m:e>
              </m:d>
            </m:den>
          </m:f>
          <m:r>
            <m:t>  </m:t>
          </m:r>
          <m:d>
            <m:dPr>
              <m:begChr m:val="("/>
              <m:sepChr m:val=""/>
              <m:endChr m:val=")"/>
              <m:grow/>
            </m:dPr>
            <m:e>
              <m:r>
                <m:t>6.1</m:t>
              </m:r>
            </m:e>
          </m:d>
        </m:oMath>
      </m:oMathPara>
      <w:bookmarkEnd w:id="417"/>
    </w:p>
    <w:p>
      <w:pPr>
        <w:pStyle w:val="FirstParagraph"/>
      </w:pPr>
      <w:r>
        <w:t xml:space="preserve">This procedure allowed us to obtain comparable estimates across different units and improve model convergence, while preserving relative differences within each variable over time (e.g. mean variations).</w:t>
      </w:r>
    </w:p>
    <w:bookmarkEnd w:id="418"/>
    <w:bookmarkStart w:id="420" w:name="main-analyses-2"/>
    <w:p>
      <w:pPr>
        <w:pStyle w:val="Heading4"/>
      </w:pPr>
      <w:r>
        <w:t xml:space="preserve">Main analyses</w:t>
      </w:r>
    </w:p>
    <w:p>
      <w:pPr>
        <w:pStyle w:val="FirstParagraph"/>
      </w:pPr>
      <w:r>
        <w:t xml:space="preserve">We fit a lag-1 random-intercept cross-lag panel model (RI-CLPM)</w:t>
      </w:r>
      <w:r>
        <w:t xml:space="preserve"> </w:t>
      </w:r>
      <w:r>
        <w:t xml:space="preserve">(Hamaker et al., 2015)</w:t>
      </w:r>
      <w:r>
        <w:t xml:space="preserve"> </w:t>
      </w:r>
      <w:r>
        <w:t xml:space="preserve">to characterize the relationship between self-reported depressive symptoms and fat mass index across 6 time points (~10, 12, 14, 16, 18 and 24 years). The model was specified as a structural equation model composed of four parts (see also</w:t>
      </w:r>
      <w:r>
        <w:t xml:space="preserve"> </w:t>
      </w:r>
      <w:hyperlink r:id="rId419">
        <w:r>
          <w:rPr>
            <w:rStyle w:val="Hyperlink"/>
            <w:i/>
            <w:iCs/>
          </w:rPr>
          <w:t xml:space="preserve">Appendix S2</w:t>
        </w:r>
      </w:hyperlink>
    </w:p>
    <w:p>
      <w:pPr>
        <w:pStyle w:val="Compact"/>
        <w:numPr>
          <w:ilvl w:val="0"/>
          <w:numId w:val="1002"/>
        </w:numPr>
      </w:pPr>
      <w:r>
        <w:t xml:space="preserve">A between-person part, consisting of the</w:t>
      </w:r>
      <w:r>
        <w:t xml:space="preserve"> </w:t>
      </w:r>
      <w:r>
        <w:t xml:space="preserve">“random intercepts”</w:t>
      </w:r>
      <w:r>
        <w:t xml:space="preserve"> </w:t>
      </w:r>
      <w:r>
        <w:t xml:space="preserve">(</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These are latent variables that have each measurement occasion as indicator and factor loadings set to 1. They reflect stable (i.e.,</w:t>
      </w:r>
      <w:r>
        <w:t xml:space="preserve"> </w:t>
      </w:r>
      <w:r>
        <w:t xml:space="preserve">“time-invariant”</w:t>
      </w:r>
      <w:r>
        <w:t xml:space="preserve">) between-person differences (e.g., some children may have systematically higher fat mass over time compared to others).</w:t>
      </w:r>
    </w:p>
    <w:p>
      <w:pPr>
        <w:pStyle w:val="Compact"/>
        <w:numPr>
          <w:ilvl w:val="0"/>
          <w:numId w:val="1002"/>
        </w:numPr>
      </w:pPr>
      <w:r>
        <w:t xml:space="preserve">A within-person part, consisting of</w:t>
      </w:r>
      <w:r>
        <w:t xml:space="preserve"> </w:t>
      </w:r>
      <w:r>
        <w:t xml:space="preserve">“within-unit fluctuations”</w:t>
      </w:r>
      <w:r>
        <w:t xml:space="preserve">: time-specific residual terms specified as latent variables with factor loading set to 1, and (measurement error) variances set to 0. They represent random changes that make observations unique, allowing individuals to differ (from themselves) at each occasion. For example, these could reflect a life event that raises/lowers a person’s depression at a given time</w:t>
      </w:r>
      <w:r>
        <w:t xml:space="preserve"> </w:t>
      </w:r>
      <m:oMath>
        <m:r>
          <m:t>t</m:t>
        </m:r>
      </m:oMath>
      <w:r>
        <w:t xml:space="preserve">.</w:t>
      </w:r>
    </w:p>
    <w:p>
      <w:pPr>
        <w:pStyle w:val="Compact"/>
        <w:numPr>
          <w:ilvl w:val="0"/>
          <w:numId w:val="1002"/>
        </w:numPr>
      </w:pPr>
      <w:r>
        <w:t xml:space="preserve">The (lag-1) regressions between the within-unit components: i.e. the auto-regressive and cross-lagged terms.</w:t>
      </w:r>
    </w:p>
    <w:p>
      <w:pPr>
        <w:pStyle w:val="Compact"/>
        <w:numPr>
          <w:ilvl w:val="1"/>
          <w:numId w:val="1003"/>
        </w:numPr>
      </w:pPr>
      <w:r>
        <w:t xml:space="preserve">auto-regressive terms quantify the persistence (or</w:t>
      </w:r>
      <w:r>
        <w:t xml:space="preserve"> </w:t>
      </w:r>
      <w:r>
        <w:t xml:space="preserve">“inertia”</w:t>
      </w:r>
      <w:r>
        <w:t xml:space="preserve">) of a construct, i.e. its tendency to retain its state over time. For example, AR~* dep*~ captures the proportion of past depression that persists directly to the next measurement occasion.</w:t>
      </w:r>
    </w:p>
    <w:p>
      <w:pPr>
        <w:pStyle w:val="Compact"/>
        <w:numPr>
          <w:ilvl w:val="1"/>
          <w:numId w:val="1003"/>
        </w:numPr>
      </w:pPr>
      <w:r>
        <w:t xml:space="preserve">In contrast, cross-lagged relations measure the proportion of past variance in one variable that is reflected in the other variable at the next measurement occasion, and are therefore used to infer (Granger) causality. For example, CL~* dep*~ indicates how much within-person variance in depression at time</w:t>
      </w:r>
      <w:r>
        <w:t xml:space="preserve"> </w:t>
      </w:r>
      <m:oMath>
        <m:r>
          <m:t>t</m:t>
        </m:r>
      </m:oMath>
      <w:r>
        <w:t xml:space="preserve"> </w:t>
      </w:r>
      <w:r>
        <w:t xml:space="preserve">is uniquely explained by FMI at time point</w:t>
      </w:r>
      <w:r>
        <w:t xml:space="preserve"> </w:t>
      </w:r>
      <m:oMath>
        <m:r>
          <m:t>t</m:t>
        </m:r>
      </m:oMath>
      <w:r>
        <w:t xml:space="preserve"> </w:t>
      </w:r>
      <w:r>
        <w:t xml:space="preserve">– 1 (controlling for the persistence of past values of depression).</w:t>
      </w:r>
    </w:p>
    <w:p>
      <w:pPr>
        <w:pStyle w:val="Compact"/>
        <w:numPr>
          <w:ilvl w:val="0"/>
          <w:numId w:val="1002"/>
        </w:numPr>
      </w:pPr>
      <w:r>
        <w:t xml:space="preserve">Covariances in the between- and within- person part.</w:t>
      </w:r>
    </w:p>
    <w:p>
      <w:pPr>
        <w:pStyle w:val="Compact"/>
        <w:numPr>
          <w:ilvl w:val="1"/>
          <w:numId w:val="1004"/>
        </w:numPr>
      </w:pPr>
      <w:r>
        <w:t xml:space="preserve">To control for between-person trends that may confound the (within-person) system dynamics reflected by auto-regressive and cross-lagged terms, the covariance between</w:t>
      </w:r>
      <w:r>
        <w:t xml:space="preserve"> </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w:t>
      </w:r>
      <w:r>
        <w:t xml:space="preserve">is freely estimated.</w:t>
      </w:r>
    </w:p>
    <w:p>
      <w:pPr>
        <w:pStyle w:val="Compact"/>
        <w:numPr>
          <w:ilvl w:val="1"/>
          <w:numId w:val="1004"/>
        </w:numPr>
      </w:pPr>
      <w:r>
        <w:t xml:space="preserve">Similarly, because within-unit fluctuations may be non-independent (e.g., when a random change affects both variables simultaneously) this is modelled by estimating their covariance within each wave.</w:t>
      </w:r>
    </w:p>
    <w:p>
      <w:pPr>
        <w:pStyle w:val="FirstParagraph"/>
      </w:pPr>
      <w:r>
        <w:t xml:space="preserve">Full information maximum likelihood (FIML) estimation was used to account for missing patterns that may not conform to MCAR. Coefficients were standardized and conventional robust standard errors were used to compute 95% confidence intervals (95%CI).</w:t>
      </w:r>
    </w:p>
    <w:p>
      <w:pPr>
        <w:pStyle w:val="BodyText"/>
      </w:pPr>
      <w:r>
        <w:t xml:space="preserve">Model fit was evaluated using the Root Mean Square Error of Approximation (RMSEA), the Comparative Fit Index (CFI), the Tucker Lewis Index (TLI), and the Standardized Root Mean Square Residual (SRMR). We considered model fit to be adequate when: RMSEA ≤ 0.05, CFI and TLI ≥ 0.95, and SRMR &lt; 0.08</w:t>
      </w:r>
      <w:r>
        <w:t xml:space="preserve"> </w:t>
      </w:r>
      <w:r>
        <w:t xml:space="preserve">(Kline, 2016)</w:t>
      </w:r>
      <w:r>
        <w:t xml:space="preserve">.</w:t>
      </w:r>
    </w:p>
    <w:bookmarkEnd w:id="420"/>
    <w:bookmarkStart w:id="422" w:name="exploratory-analyses"/>
    <w:p>
      <w:pPr>
        <w:pStyle w:val="Heading4"/>
      </w:pPr>
      <w:r>
        <w:t xml:space="preserve">Exploratory analyses</w:t>
      </w:r>
    </w:p>
    <w:p>
      <w:pPr>
        <w:pStyle w:val="FirstParagraph"/>
      </w:pPr>
      <w:r>
        <w:t xml:space="preserve">We further conducted three sets of exploratory follow-up analyses.</w:t>
      </w:r>
    </w:p>
    <w:p>
      <w:pPr>
        <w:pStyle w:val="Compact"/>
        <w:numPr>
          <w:ilvl w:val="0"/>
          <w:numId w:val="1005"/>
        </w:numPr>
      </w:pPr>
      <w:r>
        <w:t xml:space="preserve">We replaced FMI with each of 10 alternative cardio-metabolic risk markers, including measures of adiposity (i.e., BMI, LMI, android fat mass and waist circumference), lipid profiles (i.e., HDL and LDL cholesterol levels, and triglycerides), insulin levels and inflammation (i.e., CRP).</w:t>
      </w:r>
    </w:p>
    <w:p>
      <w:pPr>
        <w:pStyle w:val="Compact"/>
        <w:numPr>
          <w:ilvl w:val="0"/>
          <w:numId w:val="1005"/>
        </w:numPr>
      </w:pPr>
      <w:r>
        <w:t xml:space="preserve">We replaced self-reported depressive symptoms scores with maternal reports (at the available time points).</w:t>
      </w:r>
    </w:p>
    <w:p>
      <w:pPr>
        <w:pStyle w:val="Compact"/>
        <w:numPr>
          <w:ilvl w:val="0"/>
          <w:numId w:val="1005"/>
        </w:numPr>
      </w:pPr>
      <w:r>
        <w:t xml:space="preserve">Estimated an Autoregressive Latent Trajectory Model with Structured Residuals (ALT-SR) with linear latent growth as an alternative to the RI-CLPM. Briefly, the ALT-SR is a more flexible modelling approach, which allows to explicitly model developmental trends (i.e. latent random slopes), in addition to the stable trait-like between-person differences (i.e., latent random intercepts)</w:t>
      </w:r>
      <w:r>
        <w:t xml:space="preserve"> </w:t>
      </w:r>
      <w:r>
        <w:t xml:space="preserve">(Curran et al., 2014)</w:t>
      </w:r>
      <w:r>
        <w:t xml:space="preserve">.</w:t>
      </w:r>
    </w:p>
    <w:p>
      <w:pPr>
        <w:pStyle w:val="FirstParagraph"/>
      </w:pPr>
      <w:r>
        <w:t xml:space="preserve">Note that the project</w:t>
      </w:r>
      <w:r>
        <w:t xml:space="preserve"> </w:t>
      </w:r>
      <w:hyperlink r:id="rId421">
        <w:r>
          <w:rPr>
            <w:rStyle w:val="Hyperlink"/>
          </w:rPr>
          <w:t xml:space="preserve">web-application</w:t>
        </w:r>
      </w:hyperlink>
      <w:r>
        <w:t xml:space="preserve"> </w:t>
      </w:r>
      <w:r>
        <w:t xml:space="preserve">offers the opportunity for researchers to interact with model settings and examine the robustness of findings against violations of modelling assumptions, such as the temporal stability of the between- and within-person components (</w:t>
      </w:r>
      <w:hyperlink r:id="rId412">
        <w:r>
          <w:rPr>
            <w:rStyle w:val="Hyperlink"/>
            <w:i/>
            <w:iCs/>
          </w:rPr>
          <w:t xml:space="preserve">Appendix S2</w:t>
        </w:r>
      </w:hyperlink>
      <w:r>
        <w:t xml:space="preserve">).</w:t>
      </w:r>
    </w:p>
    <w:bookmarkEnd w:id="422"/>
    <w:bookmarkEnd w:id="423"/>
    <w:bookmarkEnd w:id="424"/>
    <w:bookmarkStart w:id="445" w:name="results-2"/>
    <w:p>
      <w:pPr>
        <w:pStyle w:val="Heading2"/>
      </w:pPr>
      <w:r>
        <w:t xml:space="preserve">6.3 Results</w:t>
      </w:r>
    </w:p>
    <w:bookmarkStart w:id="430" w:name="descriptive-statistics"/>
    <w:p>
      <w:pPr>
        <w:pStyle w:val="Heading3"/>
      </w:pPr>
      <w:r>
        <w:t xml:space="preserve">Descriptive statistics</w:t>
      </w:r>
    </w:p>
    <w:p>
      <w:pPr>
        <w:pStyle w:val="FirstParagraph"/>
      </w:pPr>
      <w:r>
        <w:t xml:space="preserve">Sample descriptives are presented in</w:t>
      </w:r>
      <w:r>
        <w:t xml:space="preserve"> </w:t>
      </w:r>
      <w:hyperlink w:anchor="tbl-6.1">
        <w:r>
          <w:rPr>
            <w:rStyle w:val="Hyperlink"/>
          </w:rPr>
          <w:t xml:space="preserve">Table 6.1</w:t>
        </w:r>
      </w:hyperlink>
      <w:r>
        <w:t xml:space="preserve"> </w:t>
      </w:r>
      <w:r>
        <w:t xml:space="preserve">and</w:t>
      </w:r>
      <w:r>
        <w:t xml:space="preserve"> </w:t>
      </w:r>
      <w:hyperlink w:anchor="fig-6.1">
        <w:r>
          <w:rPr>
            <w:rStyle w:val="Hyperlink"/>
          </w:rPr>
          <w:t xml:space="preserve">Figure 6.1</w:t>
        </w:r>
      </w:hyperlink>
      <w:r>
        <w:t xml:space="preserve">. The main analytical sample consisted of 7970 (47% male) participants, who had at least one measurement of depressive symptoms and FMI; 96% of participants’ parents identified as ethnically</w:t>
      </w:r>
      <w:r>
        <w:t xml:space="preserve"> </w:t>
      </w:r>
      <w:r>
        <w:t xml:space="preserve">“White”</w:t>
      </w:r>
      <w:r>
        <w:t xml:space="preserve">.</w:t>
      </w:r>
    </w:p>
    <w:p>
      <w:pPr>
        <w:pStyle w:val="BodyText"/>
      </w:pPr>
      <w:r>
        <w:t xml:space="preserve">Both depressive symptoms and FMI increased slightly with age (see</w:t>
      </w:r>
      <w:r>
        <w:t xml:space="preserve"> </w:t>
      </w:r>
      <w:hyperlink w:anchor="fig-6.1">
        <w:r>
          <w:rPr>
            <w:rStyle w:val="Hyperlink"/>
          </w:rPr>
          <w:t xml:space="preserve">Figure 6.1</w:t>
        </w:r>
      </w:hyperlink>
      <w:r>
        <w:t xml:space="preserve"> </w:t>
      </w:r>
      <w:r>
        <w:t xml:space="preserve">A-B); their cross-sectional correlations ranged from 0.00 to 0.17 (r mean = 0.10;</w:t>
      </w:r>
      <w:r>
        <w:t xml:space="preserve"> </w:t>
      </w:r>
      <w:hyperlink w:anchor="fig-6.1">
        <w:r>
          <w:rPr>
            <w:rStyle w:val="Hyperlink"/>
          </w:rPr>
          <w:t xml:space="preserve">Figure 6.1</w:t>
        </w:r>
      </w:hyperlink>
      <w:r>
        <w:t xml:space="preserve"> </w:t>
      </w:r>
      <w:r>
        <w:t xml:space="preserve">C).</w:t>
      </w:r>
    </w:p>
    <w:p>
      <w:pPr>
        <w:pStyle w:val="BodyText"/>
      </w:pPr>
      <w:r>
        <w:t xml:space="preserve">Girls had systematically higher FMI compared to boys across time points, and they reported higher depressive symptoms scores from the ages of 14 years onwards.</w:t>
      </w:r>
    </w:p>
    <w:tbl>
      <w:tblPr>
        <w:tblStyle w:val="Table"/>
        <w:tblW w:type="pct" w:w="5000"/>
        <w:tblLayout w:type="fixed"/>
        <w:tblLook w:firstRow="0" w:lastRow="0" w:firstColumn="0" w:lastColumn="0" w:noHBand="0" w:noVBand="0" w:val="0000"/>
      </w:tblPr>
      <w:tblGrid>
        <w:gridCol w:w="7920"/>
      </w:tblGrid>
      <w:tr>
        <w:tc>
          <w:tcPr/>
          <w:bookmarkStart w:id="428" w:name="fig-6.1"/>
          <w:p>
            <w:pPr>
              <w:pStyle w:val="Compact"/>
              <w:jc w:val="center"/>
            </w:pPr>
            <w:r>
              <w:drawing>
                <wp:inline>
                  <wp:extent cx="5943600" cy="2777140"/>
                  <wp:effectExtent b="0" l="0" r="0" t="0"/>
                  <wp:docPr descr="" title="" id="426" name="Picture"/>
                  <a:graphic>
                    <a:graphicData uri="http://schemas.openxmlformats.org/drawingml/2006/picture">
                      <pic:pic>
                        <pic:nvPicPr>
                          <pic:cNvPr descr="6.Chapter/Figures/F1_maindesc.png" id="427" name="Picture"/>
                          <pic:cNvPicPr>
                            <a:picLocks noChangeArrowheads="1" noChangeAspect="1"/>
                          </pic:cNvPicPr>
                        </pic:nvPicPr>
                        <pic:blipFill>
                          <a:blip r:embed="rId425"/>
                          <a:stretch>
                            <a:fillRect/>
                          </a:stretch>
                        </pic:blipFill>
                        <pic:spPr bwMode="auto">
                          <a:xfrm>
                            <a:off x="0" y="0"/>
                            <a:ext cx="5943600" cy="27771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
                <w:bCs/>
              </w:rPr>
              <w:t xml:space="preserve">Main outcomes descriptives</w:t>
            </w:r>
            <w:r>
              <w:t xml:space="preserve">(A, B) The distribution of observed values for SMFQ depressive scores (A) and fat mass index (B) is presented on the y-axis against measurement time (x-axis). In the violin plots, lighter colors are used to represent the original value distributions, while darker colors represent the same variable distributions and after data transformation was applied (i.e., square root for depressive symptoms scores and log transformation for FMI). The line graph connects the median points (in the original data scale) at each timepoint. (C) The univariate, pairwise Pearson correlation coefficients between each repeated measure of depressive symptoms (Dep) and fat mass index (FMI).</w:t>
            </w:r>
          </w:p>
          <w:bookmarkEnd w:id="428"/>
        </w:tc>
      </w:tr>
    </w:tbl>
    <w:p/>
    <w:tbl>
      <w:tblPr>
        <w:tblStyle w:val="Table"/>
        <w:tblW w:type="pct" w:w="5000"/>
        <w:tblLayout w:type="fixed"/>
        <w:tblLook w:firstRow="0" w:lastRow="0" w:firstColumn="0" w:lastColumn="0" w:noHBand="0" w:noVBand="0" w:val="0000"/>
      </w:tblPr>
      <w:tblGrid>
        <w:gridCol w:w="7920"/>
      </w:tblGrid>
      <w:tr>
        <w:tc>
          <w:tcPr/>
          <w:bookmarkStart w:id="429" w:name="tbl-6.1"/>
          <w:p>
            <w:pPr>
              <w:jc w:val="center"/>
            </w:pPr>
            <w:pPr>
              <w:jc w:val="start"/>
              <w:spacing w:before="200"/>
              <w:pStyle w:val="ImageCaption"/>
            </w:pPr>
            <w:r>
              <w:t xml:space="preserve">Table 6.1</w:t>
            </w:r>
          </w:p>
          <w:tbl>
            <w:tblPr>
              <w:tblStyle w:val="Table"/>
              <w:tblW w:type="auto" w:w="0"/>
              <w:tblLook w:firstRow="1" w:lastRow="1" w:firstColumn="0" w:lastColumn="0" w:noHBand="0" w:noVBand="0" w:val="0020"/>
            </w:tblPr>
            <w:tblGrid>
              <w:gridCol w:w="1980"/>
              <w:gridCol w:w="1980"/>
              <w:gridCol w:w="1980"/>
              <w:gridCol w:w="1980"/>
            </w:tblGrid>
            <w:tr>
              <w:trPr>
                <w:tblHeader w:val="on"/>
              </w:trPr>
              <w:tc>
                <w:tcPr>
                  <w:gridSpan w:val="4"/>
                </w:tcPr>
                <w:p>
                  <w:pPr>
                    <w:pStyle w:val="Compact"/>
                    <w:jc w:val="center"/>
                  </w:pPr>
                  <w:r>
                    <w:rPr>
                      <w:b/>
                      <w:bCs/>
                    </w:rPr>
                    <w:t xml:space="preserve">Sample descriptives</w:t>
                  </w:r>
                  <w:r>
                    <w:br/>
                  </w:r>
                  <w:r>
                    <w:t xml:space="preserve">ALSPAC cohort</w:t>
                  </w:r>
                </w:p>
              </w:tc>
            </w:tr>
            <w:tr>
              <w:tc>
                <w:tcPr/>
                <w:p>
                  <w:pPr>
                    <w:pStyle w:val="Compact"/>
                    <w:jc w:val="center"/>
                  </w:pPr>
                  <w:r>
                    <w:t xml:space="preserve"> </w:t>
                  </w:r>
                </w:p>
              </w:tc>
              <w:tc>
                <w:tcPr/>
                <w:p>
                  <w:pPr>
                    <w:pStyle w:val="Compact"/>
                    <w:jc w:val="center"/>
                  </w:pPr>
                  <w:r>
                    <w:rPr>
                      <w:b/>
                      <w:bCs/>
                    </w:rPr>
                    <w:t xml:space="preserve">Total sample</w:t>
                  </w:r>
                  <w:r>
                    <w:br/>
                  </w:r>
                  <w:r>
                    <w:t xml:space="preserve">(</w:t>
                  </w:r>
                  <w:r>
                    <w:rPr>
                      <w:i/>
                      <w:iCs/>
                    </w:rPr>
                    <w:t xml:space="preserve">n</w:t>
                  </w:r>
                  <w:r>
                    <w:t xml:space="preserve">=7970)</w:t>
                  </w:r>
                </w:p>
              </w:tc>
              <w:tc>
                <w:tcPr/>
                <w:p>
                  <w:pPr>
                    <w:pStyle w:val="Compact"/>
                    <w:jc w:val="center"/>
                  </w:pPr>
                  <w:r>
                    <w:rPr>
                      <w:b/>
                      <w:bCs/>
                    </w:rPr>
                    <w:t xml:space="preserve">Male participants</w:t>
                  </w:r>
                  <w:r>
                    <w:br/>
                  </w:r>
                  <w:r>
                    <w:t xml:space="preserve">(</w:t>
                  </w:r>
                  <w:r>
                    <w:rPr>
                      <w:i/>
                      <w:iCs/>
                    </w:rPr>
                    <w:t xml:space="preserve">n</w:t>
                  </w:r>
                  <w:r>
                    <w:t xml:space="preserve">=3769)</w:t>
                  </w:r>
                </w:p>
              </w:tc>
              <w:tc>
                <w:tcPr/>
                <w:p>
                  <w:pPr>
                    <w:pStyle w:val="Compact"/>
                    <w:jc w:val="center"/>
                  </w:pPr>
                  <w:r>
                    <w:rPr>
                      <w:b/>
                      <w:bCs/>
                    </w:rPr>
                    <w:t xml:space="preserve">Female participants</w:t>
                  </w:r>
                  <w:r>
                    <w:br/>
                  </w:r>
                  <w:r>
                    <w:t xml:space="preserve">(</w:t>
                  </w:r>
                  <w:r>
                    <w:rPr>
                      <w:i/>
                      <w:iCs/>
                    </w:rPr>
                    <w:t xml:space="preserve">n</w:t>
                  </w:r>
                  <w:r>
                    <w:t xml:space="preserve">=4185)</w:t>
                  </w:r>
                </w:p>
              </w:tc>
            </w:tr>
            <w:tr>
              <w:tc>
                <w:tcPr>
                  <w:gridSpan w:val="4"/>
                </w:tcPr>
                <w:p>
                  <w:pPr>
                    <w:pStyle w:val="Compact"/>
                    <w:jc w:val="center"/>
                  </w:pPr>
                  <w:r>
                    <w:rPr>
                      <w:b/>
                      <w:bCs/>
                    </w:rPr>
                    <w:t xml:space="preserve">SMFQ depressive symptom score</w:t>
                  </w:r>
                  <w:r>
                    <w:t xml:space="preserve">, median (range) [% missing values]</w:t>
                  </w:r>
                </w:p>
              </w:tc>
            </w:tr>
            <w:tr>
              <w:tc>
                <w:tcPr/>
                <w:p>
                  <w:pPr>
                    <w:pStyle w:val="Compact"/>
                    <w:jc w:val="center"/>
                  </w:pPr>
                  <w:r>
                    <w:t xml:space="preserve">  10 years</w:t>
                  </w:r>
                </w:p>
              </w:tc>
              <w:tc>
                <w:tcPr/>
                <w:p>
                  <w:pPr>
                    <w:pStyle w:val="Compact"/>
                    <w:jc w:val="center"/>
                  </w:pPr>
                  <w:r>
                    <w:t xml:space="preserve">3 (0-23) [15%]</w:t>
                  </w:r>
                </w:p>
              </w:tc>
              <w:tc>
                <w:tcPr/>
                <w:p>
                  <w:pPr>
                    <w:pStyle w:val="Compact"/>
                    <w:jc w:val="center"/>
                  </w:pPr>
                  <w:r>
                    <w:t xml:space="preserve">3 (0-23) [14%]</w:t>
                  </w:r>
                </w:p>
              </w:tc>
              <w:tc>
                <w:tcPr/>
                <w:p>
                  <w:pPr>
                    <w:pStyle w:val="Compact"/>
                    <w:jc w:val="center"/>
                  </w:pPr>
                  <w:r>
                    <w:t xml:space="preserve">3 (0-21) [17%]</w:t>
                  </w:r>
                </w:p>
              </w:tc>
            </w:tr>
            <w:tr>
              <w:tc>
                <w:tcPr/>
                <w:p>
                  <w:pPr>
                    <w:pStyle w:val="Compact"/>
                    <w:jc w:val="center"/>
                  </w:pPr>
                  <w:r>
                    <w:t xml:space="preserve">  12 years</w:t>
                  </w:r>
                </w:p>
              </w:tc>
              <w:tc>
                <w:tcPr/>
                <w:p>
                  <w:pPr>
                    <w:pStyle w:val="Compact"/>
                    <w:jc w:val="center"/>
                  </w:pPr>
                  <w:r>
                    <w:t xml:space="preserve">3 (0-25) [19%]</w:t>
                  </w:r>
                </w:p>
              </w:tc>
              <w:tc>
                <w:tcPr/>
                <w:p>
                  <w:pPr>
                    <w:pStyle w:val="Compact"/>
                    <w:jc w:val="center"/>
                  </w:pPr>
                  <w:r>
                    <w:t xml:space="preserve">3 (0-25) [17%]</w:t>
                  </w:r>
                </w:p>
              </w:tc>
              <w:tc>
                <w:tcPr/>
                <w:p>
                  <w:pPr>
                    <w:pStyle w:val="Compact"/>
                    <w:jc w:val="center"/>
                  </w:pPr>
                  <w:r>
                    <w:t xml:space="preserve">3 (0-24) [21%]</w:t>
                  </w:r>
                </w:p>
              </w:tc>
            </w:tr>
            <w:tr>
              <w:tc>
                <w:tcPr/>
                <w:p>
                  <w:pPr>
                    <w:pStyle w:val="Compact"/>
                    <w:jc w:val="center"/>
                  </w:pPr>
                  <w:r>
                    <w:t xml:space="preserve">  14 years</w:t>
                  </w:r>
                </w:p>
              </w:tc>
              <w:tc>
                <w:tcPr/>
                <w:p>
                  <w:pPr>
                    <w:pStyle w:val="Compact"/>
                    <w:jc w:val="center"/>
                  </w:pPr>
                  <w:r>
                    <w:t xml:space="preserve">4 (0-26) [24%]</w:t>
                  </w:r>
                </w:p>
              </w:tc>
              <w:tc>
                <w:tcPr/>
                <w:p>
                  <w:pPr>
                    <w:pStyle w:val="Compact"/>
                    <w:jc w:val="center"/>
                  </w:pPr>
                  <w:r>
                    <w:t xml:space="preserve">3 (0-26) [21%]</w:t>
                  </w:r>
                </w:p>
              </w:tc>
              <w:tc>
                <w:tcPr/>
                <w:p>
                  <w:pPr>
                    <w:pStyle w:val="Compact"/>
                    <w:jc w:val="center"/>
                  </w:pPr>
                  <w:r>
                    <w:t xml:space="preserve">4 (0-26) [26%]</w:t>
                  </w:r>
                </w:p>
              </w:tc>
            </w:tr>
            <w:tr>
              <w:tc>
                <w:tcPr/>
                <w:p>
                  <w:pPr>
                    <w:pStyle w:val="Compact"/>
                    <w:jc w:val="center"/>
                  </w:pPr>
                  <w:r>
                    <w:t xml:space="preserve">  16 years</w:t>
                  </w:r>
                </w:p>
              </w:tc>
              <w:tc>
                <w:tcPr/>
                <w:p>
                  <w:pPr>
                    <w:pStyle w:val="Compact"/>
                    <w:jc w:val="center"/>
                  </w:pPr>
                  <w:r>
                    <w:t xml:space="preserve">4 (0-26) [43%]</w:t>
                  </w:r>
                </w:p>
              </w:tc>
              <w:tc>
                <w:tcPr/>
                <w:p>
                  <w:pPr>
                    <w:pStyle w:val="Compact"/>
                    <w:jc w:val="center"/>
                  </w:pPr>
                  <w:r>
                    <w:t xml:space="preserve">3 (0-26) [51%]</w:t>
                  </w:r>
                </w:p>
              </w:tc>
              <w:tc>
                <w:tcPr/>
                <w:p>
                  <w:pPr>
                    <w:pStyle w:val="Compact"/>
                    <w:jc w:val="center"/>
                  </w:pPr>
                  <w:r>
                    <w:t xml:space="preserve">5 (0-26) [36%]</w:t>
                  </w:r>
                </w:p>
              </w:tc>
            </w:tr>
            <w:tr>
              <w:tc>
                <w:tcPr/>
                <w:p>
                  <w:pPr>
                    <w:pStyle w:val="Compact"/>
                    <w:jc w:val="center"/>
                  </w:pPr>
                  <w:r>
                    <w:t xml:space="preserve">  18 years</w:t>
                  </w:r>
                </w:p>
              </w:tc>
              <w:tc>
                <w:tcPr/>
                <w:p>
                  <w:pPr>
                    <w:pStyle w:val="Compact"/>
                    <w:jc w:val="center"/>
                  </w:pPr>
                  <w:r>
                    <w:t xml:space="preserve">5 (0-26) [45%]</w:t>
                  </w:r>
                </w:p>
              </w:tc>
              <w:tc>
                <w:tcPr/>
                <w:p>
                  <w:pPr>
                    <w:pStyle w:val="Compact"/>
                    <w:jc w:val="center"/>
                  </w:pPr>
                  <w:r>
                    <w:t xml:space="preserve">4 (0-26) [51%]</w:t>
                  </w:r>
                </w:p>
              </w:tc>
              <w:tc>
                <w:tcPr/>
                <w:p>
                  <w:pPr>
                    <w:pStyle w:val="Compact"/>
                    <w:jc w:val="center"/>
                  </w:pPr>
                  <w:r>
                    <w:t xml:space="preserve">6 (0-26) [40%]</w:t>
                  </w:r>
                </w:p>
              </w:tc>
            </w:tr>
            <w:tr>
              <w:tc>
                <w:tcPr/>
                <w:p>
                  <w:pPr>
                    <w:pStyle w:val="Compact"/>
                    <w:jc w:val="center"/>
                  </w:pPr>
                  <w:r>
                    <w:t xml:space="preserve">  24 years</w:t>
                  </w:r>
                </w:p>
              </w:tc>
              <w:tc>
                <w:tcPr/>
                <w:p>
                  <w:pPr>
                    <w:pStyle w:val="Compact"/>
                    <w:jc w:val="center"/>
                  </w:pPr>
                  <w:r>
                    <w:t xml:space="preserve">5 (0-26) [54%]</w:t>
                  </w:r>
                </w:p>
              </w:tc>
              <w:tc>
                <w:tcPr/>
                <w:p>
                  <w:pPr>
                    <w:pStyle w:val="Compact"/>
                    <w:jc w:val="center"/>
                  </w:pPr>
                  <w:r>
                    <w:t xml:space="preserve">4 (0-26) [66%]</w:t>
                  </w:r>
                </w:p>
              </w:tc>
              <w:tc>
                <w:tcPr/>
                <w:p>
                  <w:pPr>
                    <w:pStyle w:val="Compact"/>
                    <w:jc w:val="center"/>
                  </w:pPr>
                  <w:r>
                    <w:t xml:space="preserve">5 (0-26) [42%]</w:t>
                  </w:r>
                </w:p>
              </w:tc>
            </w:tr>
            <w:tr>
              <w:tc>
                <w:tcPr>
                  <w:gridSpan w:val="4"/>
                </w:tcPr>
                <w:p>
                  <w:pPr>
                    <w:pStyle w:val="Compact"/>
                    <w:jc w:val="center"/>
                  </w:pPr>
                  <w:r>
                    <w:rPr>
                      <w:b/>
                      <w:bCs/>
                    </w:rPr>
                    <w:t xml:space="preserve">Fat mass index</w:t>
                  </w:r>
                  <w:r>
                    <w:t xml:space="preserve">, median (range) [% missing values]</w:t>
                  </w:r>
                </w:p>
              </w:tc>
            </w:tr>
            <w:tr>
              <w:tc>
                <w:tcPr/>
                <w:p>
                  <w:pPr>
                    <w:pStyle w:val="Compact"/>
                    <w:jc w:val="center"/>
                  </w:pPr>
                  <w:r>
                    <w:t xml:space="preserve">  10 years</w:t>
                  </w:r>
                </w:p>
              </w:tc>
              <w:tc>
                <w:tcPr/>
                <w:p>
                  <w:pPr>
                    <w:pStyle w:val="Compact"/>
                    <w:jc w:val="center"/>
                  </w:pPr>
                  <w:r>
                    <w:t xml:space="preserve">3.8 (0.7-18.4) [50%]</w:t>
                  </w:r>
                </w:p>
              </w:tc>
              <w:tc>
                <w:tcPr/>
                <w:p>
                  <w:pPr>
                    <w:pStyle w:val="Compact"/>
                    <w:jc w:val="center"/>
                  </w:pPr>
                  <w:r>
                    <w:t xml:space="preserve">3.0 (0.7-15.4) [49%]</w:t>
                  </w:r>
                </w:p>
              </w:tc>
              <w:tc>
                <w:tcPr/>
                <w:p>
                  <w:pPr>
                    <w:pStyle w:val="Compact"/>
                    <w:jc w:val="center"/>
                  </w:pPr>
                  <w:r>
                    <w:t xml:space="preserve">4.4 (1.0-18.4) [51%]</w:t>
                  </w:r>
                </w:p>
              </w:tc>
            </w:tr>
            <w:tr>
              <w:tc>
                <w:tcPr/>
                <w:p>
                  <w:pPr>
                    <w:pStyle w:val="Compact"/>
                    <w:jc w:val="center"/>
                  </w:pPr>
                  <w:r>
                    <w:t xml:space="preserve">  12 years</w:t>
                  </w:r>
                </w:p>
              </w:tc>
              <w:tc>
                <w:tcPr/>
                <w:p>
                  <w:pPr>
                    <w:pStyle w:val="Compact"/>
                    <w:jc w:val="center"/>
                  </w:pPr>
                  <w:r>
                    <w:t xml:space="preserve">4.4 (0.9-19.1) [51%]</w:t>
                  </w:r>
                </w:p>
              </w:tc>
              <w:tc>
                <w:tcPr/>
                <w:p>
                  <w:pPr>
                    <w:pStyle w:val="Compact"/>
                    <w:jc w:val="center"/>
                  </w:pPr>
                  <w:r>
                    <w:t xml:space="preserve">3.8 (0.9-16.8) [50%]</w:t>
                  </w:r>
                </w:p>
              </w:tc>
              <w:tc>
                <w:tcPr/>
                <w:p>
                  <w:pPr>
                    <w:pStyle w:val="Compact"/>
                    <w:jc w:val="center"/>
                  </w:pPr>
                  <w:r>
                    <w:t xml:space="preserve">5.0 (1.1-19.1) [51%]</w:t>
                  </w:r>
                </w:p>
              </w:tc>
            </w:tr>
            <w:tr>
              <w:tc>
                <w:tcPr/>
                <w:p>
                  <w:pPr>
                    <w:pStyle w:val="Compact"/>
                    <w:jc w:val="center"/>
                  </w:pPr>
                  <w:r>
                    <w:t xml:space="preserve">  14 years</w:t>
                  </w:r>
                </w:p>
              </w:tc>
              <w:tc>
                <w:tcPr/>
                <w:p>
                  <w:pPr>
                    <w:pStyle w:val="Compact"/>
                    <w:jc w:val="center"/>
                  </w:pPr>
                  <w:r>
                    <w:t xml:space="preserve">4.6 (0.8-21.9) [24%]</w:t>
                  </w:r>
                </w:p>
              </w:tc>
              <w:tc>
                <w:tcPr/>
                <w:p>
                  <w:pPr>
                    <w:pStyle w:val="Compact"/>
                    <w:jc w:val="center"/>
                  </w:pPr>
                  <w:r>
                    <w:t xml:space="preserve">3.1 (0.8-17.7) [22%]</w:t>
                  </w:r>
                </w:p>
              </w:tc>
              <w:tc>
                <w:tcPr/>
                <w:p>
                  <w:pPr>
                    <w:pStyle w:val="Compact"/>
                    <w:jc w:val="center"/>
                  </w:pPr>
                  <w:r>
                    <w:t xml:space="preserve">5.7 (1.5-21.9) [27%]</w:t>
                  </w:r>
                </w:p>
              </w:tc>
            </w:tr>
            <w:tr>
              <w:tc>
                <w:tcPr/>
                <w:p>
                  <w:pPr>
                    <w:pStyle w:val="Compact"/>
                    <w:jc w:val="center"/>
                  </w:pPr>
                  <w:r>
                    <w:t xml:space="preserve">  16 years</w:t>
                  </w:r>
                </w:p>
              </w:tc>
              <w:tc>
                <w:tcPr/>
                <w:p>
                  <w:pPr>
                    <w:pStyle w:val="Compact"/>
                    <w:jc w:val="center"/>
                  </w:pPr>
                  <w:r>
                    <w:t xml:space="preserve">5.0 (0.7-22.8) [36%]</w:t>
                  </w:r>
                </w:p>
              </w:tc>
              <w:tc>
                <w:tcPr/>
                <w:p>
                  <w:pPr>
                    <w:pStyle w:val="Compact"/>
                    <w:jc w:val="center"/>
                  </w:pPr>
                  <w:r>
                    <w:t xml:space="preserve">2.8 (0.7-20.0) [36%]</w:t>
                  </w:r>
                </w:p>
              </w:tc>
              <w:tc>
                <w:tcPr/>
                <w:p>
                  <w:pPr>
                    <w:pStyle w:val="Compact"/>
                    <w:jc w:val="center"/>
                  </w:pPr>
                  <w:r>
                    <w:t xml:space="preserve">6.4 (1.5-22.8) [36%]</w:t>
                  </w:r>
                </w:p>
              </w:tc>
            </w:tr>
            <w:tr>
              <w:tc>
                <w:tcPr/>
                <w:p>
                  <w:pPr>
                    <w:pStyle w:val="Compact"/>
                    <w:jc w:val="center"/>
                  </w:pPr>
                  <w:r>
                    <w:t xml:space="preserve">  18 years</w:t>
                  </w:r>
                </w:p>
              </w:tc>
              <w:tc>
                <w:tcPr/>
                <w:p>
                  <w:pPr>
                    <w:pStyle w:val="Compact"/>
                    <w:jc w:val="center"/>
                  </w:pPr>
                  <w:r>
                    <w:t xml:space="preserve">5.8 (0.5-27.9) [40%]</w:t>
                  </w:r>
                </w:p>
              </w:tc>
              <w:tc>
                <w:tcPr/>
                <w:p>
                  <w:pPr>
                    <w:pStyle w:val="Compact"/>
                    <w:jc w:val="center"/>
                  </w:pPr>
                  <w:r>
                    <w:t xml:space="preserve">3.4 (0.5-24.1) [44%]</w:t>
                  </w:r>
                </w:p>
              </w:tc>
              <w:tc>
                <w:tcPr/>
                <w:p>
                  <w:pPr>
                    <w:pStyle w:val="Compact"/>
                    <w:jc w:val="center"/>
                  </w:pPr>
                  <w:r>
                    <w:t xml:space="preserve">7.1 (0.5-27.9) [36%]</w:t>
                  </w:r>
                </w:p>
              </w:tc>
            </w:tr>
            <w:tr>
              <w:tc>
                <w:tcPr/>
                <w:p>
                  <w:pPr>
                    <w:pStyle w:val="Compact"/>
                    <w:jc w:val="center"/>
                  </w:pPr>
                  <w:r>
                    <w:t xml:space="preserve">  24 years</w:t>
                  </w:r>
                </w:p>
              </w:tc>
              <w:tc>
                <w:tcPr/>
                <w:p>
                  <w:pPr>
                    <w:pStyle w:val="Compact"/>
                    <w:jc w:val="center"/>
                  </w:pPr>
                  <w:r>
                    <w:t xml:space="preserve">7.2 (0.6-28.5) [53%]</w:t>
                  </w:r>
                </w:p>
              </w:tc>
              <w:tc>
                <w:tcPr/>
                <w:p>
                  <w:pPr>
                    <w:pStyle w:val="Compact"/>
                    <w:jc w:val="center"/>
                  </w:pPr>
                  <w:r>
                    <w:t xml:space="preserve">5.7 (1.8-23.2) [63%]</w:t>
                  </w:r>
                </w:p>
              </w:tc>
              <w:tc>
                <w:tcPr/>
                <w:p>
                  <w:pPr>
                    <w:pStyle w:val="Compact"/>
                    <w:jc w:val="center"/>
                  </w:pPr>
                  <w:r>
                    <w:t xml:space="preserve">8.0 (0.6-28.5) [44%]</w:t>
                  </w:r>
                </w:p>
              </w:tc>
            </w:tr>
            <w:tr>
              <w:tc>
                <w:tcPr>
                  <w:gridSpan w:val="4"/>
                </w:tcPr>
                <w:p>
                  <w:pPr>
                    <w:pStyle w:val="Compact"/>
                    <w:jc w:val="center"/>
                  </w:pPr>
                  <w:r>
                    <w:rPr>
                      <w:b/>
                      <w:bCs/>
                    </w:rPr>
                    <w:t xml:space="preserve">Sex</w:t>
                  </w:r>
                  <w:r>
                    <w:t xml:space="preserve">, n (%)</w:t>
                  </w:r>
                </w:p>
              </w:tc>
            </w:tr>
            <w:tr>
              <w:tc>
                <w:tcPr/>
                <w:p>
                  <w:pPr>
                    <w:pStyle w:val="Compact"/>
                    <w:jc w:val="center"/>
                  </w:pPr>
                  <w:r>
                    <w:t xml:space="preserve">  Male</w:t>
                  </w:r>
                </w:p>
              </w:tc>
              <w:tc>
                <w:tcPr/>
                <w:p>
                  <w:pPr>
                    <w:pStyle w:val="Compact"/>
                    <w:jc w:val="center"/>
                  </w:pPr>
                  <w:r>
                    <w:t xml:space="preserve">3769 (47%)</w:t>
                  </w:r>
                </w:p>
              </w:tc>
              <w:tc>
                <w:tcPr>
                  <w:gridSpan w:val="2"/>
                </w:tcPr>
                <w:p>
                  <w:pPr>
                    <w:pStyle w:val="Compact"/>
                    <w:jc w:val="center"/>
                  </w:pPr>
                  <w:r>
                    <w:t xml:space="preserve"> </w:t>
                  </w:r>
                </w:p>
              </w:tc>
            </w:tr>
            <w:tr>
              <w:tc>
                <w:tcPr/>
                <w:p>
                  <w:pPr>
                    <w:pStyle w:val="Compact"/>
                    <w:jc w:val="center"/>
                  </w:pPr>
                  <w:r>
                    <w:t xml:space="preserve">  Female</w:t>
                  </w:r>
                </w:p>
              </w:tc>
              <w:tc>
                <w:tcPr/>
                <w:p>
                  <w:pPr>
                    <w:pStyle w:val="Compact"/>
                    <w:jc w:val="center"/>
                  </w:pPr>
                  <w:r>
                    <w:t xml:space="preserve">4185 (53%)</w:t>
                  </w:r>
                </w:p>
              </w:tc>
              <w:tc>
                <w:tcPr>
                  <w:gridSpan w:val="2"/>
                </w:tcPr>
                <w:p>
                  <w:pPr>
                    <w:pStyle w:val="Compact"/>
                    <w:jc w:val="center"/>
                  </w:pPr>
                  <w:r>
                    <w:t xml:space="preserve"> </w:t>
                  </w:r>
                </w:p>
              </w:tc>
            </w:tr>
            <w:tr>
              <w:tc>
                <w:tcPr>
                  <w:gridSpan w:val="4"/>
                </w:tcPr>
                <w:p>
                  <w:pPr>
                    <w:pStyle w:val="Compact"/>
                    <w:jc w:val="center"/>
                  </w:pPr>
                  <w:r>
                    <w:rPr>
                      <w:b/>
                      <w:bCs/>
                    </w:rPr>
                    <w:t xml:space="preserve">Ethnic background</w:t>
                  </w:r>
                  <w:r>
                    <w:t xml:space="preserve">, n (%)</w:t>
                  </w:r>
                  <w:r>
                    <w:t xml:space="preserve"> </w:t>
                  </w:r>
                  <w:r>
                    <w:rPr>
                      <w:vertAlign w:val="superscript"/>
                    </w:rPr>
                    <w:t xml:space="preserve">a</w:t>
                  </w:r>
                </w:p>
              </w:tc>
            </w:tr>
            <w:tr>
              <w:tc>
                <w:tcPr/>
                <w:p>
                  <w:pPr>
                    <w:pStyle w:val="Compact"/>
                    <w:jc w:val="center"/>
                  </w:pPr>
                  <w:r>
                    <w:t xml:space="preserve">  Non-white</w:t>
                  </w:r>
                </w:p>
              </w:tc>
              <w:tc>
                <w:tcPr/>
                <w:p>
                  <w:pPr>
                    <w:pStyle w:val="Compact"/>
                    <w:jc w:val="center"/>
                  </w:pPr>
                  <w:r>
                    <w:t xml:space="preserve">280 (4%)</w:t>
                  </w:r>
                </w:p>
              </w:tc>
              <w:tc>
                <w:tcPr/>
                <w:p>
                  <w:pPr>
                    <w:pStyle w:val="Compact"/>
                    <w:jc w:val="center"/>
                  </w:pPr>
                  <w:r>
                    <w:t xml:space="preserve">134 (4%)</w:t>
                  </w:r>
                </w:p>
              </w:tc>
              <w:tc>
                <w:tcPr/>
                <w:p>
                  <w:pPr>
                    <w:pStyle w:val="Compact"/>
                    <w:jc w:val="center"/>
                  </w:pPr>
                  <w:r>
                    <w:t xml:space="preserve">146 (4%)</w:t>
                  </w:r>
                </w:p>
              </w:tc>
            </w:tr>
            <w:tr>
              <w:tc>
                <w:tcPr/>
                <w:p>
                  <w:pPr>
                    <w:pStyle w:val="Compact"/>
                    <w:jc w:val="center"/>
                  </w:pPr>
                  <w:r>
                    <w:t xml:space="preserve">  White</w:t>
                  </w:r>
                </w:p>
              </w:tc>
              <w:tc>
                <w:tcPr/>
                <w:p>
                  <w:pPr>
                    <w:pStyle w:val="Compact"/>
                    <w:jc w:val="center"/>
                  </w:pPr>
                  <w:r>
                    <w:t xml:space="preserve">6718 (96%)</w:t>
                  </w:r>
                </w:p>
              </w:tc>
              <w:tc>
                <w:tcPr/>
                <w:p>
                  <w:pPr>
                    <w:pStyle w:val="Compact"/>
                    <w:jc w:val="center"/>
                  </w:pPr>
                  <w:r>
                    <w:t xml:space="preserve">3215 (96%)</w:t>
                  </w:r>
                </w:p>
              </w:tc>
              <w:tc>
                <w:tcPr/>
                <w:p>
                  <w:pPr>
                    <w:pStyle w:val="Compact"/>
                    <w:jc w:val="center"/>
                  </w:pPr>
                  <w:r>
                    <w:t xml:space="preserve">3503 (96%)</w:t>
                  </w:r>
                </w:p>
              </w:tc>
            </w:tr>
            <w:tr>
              <w:tc>
                <w:tcPr>
                  <w:gridSpan w:val="4"/>
                </w:tcPr>
                <w:p>
                  <w:pPr>
                    <w:pStyle w:val="Compact"/>
                    <w:jc w:val="center"/>
                  </w:pPr>
                  <w:r>
                    <w:rPr>
                      <w:b/>
                      <w:bCs/>
                    </w:rPr>
                    <w:t xml:space="preserve">Maternal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210 (3%)</w:t>
                  </w:r>
                </w:p>
              </w:tc>
              <w:tc>
                <w:tcPr/>
                <w:p>
                  <w:pPr>
                    <w:pStyle w:val="Compact"/>
                    <w:jc w:val="center"/>
                  </w:pPr>
                  <w:r>
                    <w:t xml:space="preserve">89 (3%)</w:t>
                  </w:r>
                </w:p>
              </w:tc>
              <w:tc>
                <w:tcPr/>
                <w:p>
                  <w:pPr>
                    <w:pStyle w:val="Compact"/>
                    <w:jc w:val="center"/>
                  </w:pPr>
                  <w:r>
                    <w:t xml:space="preserve">121 (4%)</w:t>
                  </w:r>
                </w:p>
              </w:tc>
            </w:tr>
            <w:tr>
              <w:tc>
                <w:tcPr/>
                <w:p>
                  <w:pPr>
                    <w:pStyle w:val="Compact"/>
                    <w:jc w:val="center"/>
                  </w:pPr>
                  <w:r>
                    <w:t xml:space="preserve">  Medium</w:t>
                  </w:r>
                </w:p>
              </w:tc>
              <w:tc>
                <w:tcPr/>
                <w:p>
                  <w:pPr>
                    <w:pStyle w:val="Compact"/>
                    <w:jc w:val="center"/>
                  </w:pPr>
                  <w:r>
                    <w:t xml:space="preserve">4836 (78%)</w:t>
                  </w:r>
                </w:p>
              </w:tc>
              <w:tc>
                <w:tcPr/>
                <w:p>
                  <w:pPr>
                    <w:pStyle w:val="Compact"/>
                    <w:jc w:val="center"/>
                  </w:pPr>
                  <w:r>
                    <w:t xml:space="preserve">2374 (78%)</w:t>
                  </w:r>
                </w:p>
              </w:tc>
              <w:tc>
                <w:tcPr/>
                <w:p>
                  <w:pPr>
                    <w:pStyle w:val="Compact"/>
                    <w:jc w:val="center"/>
                  </w:pPr>
                  <w:r>
                    <w:t xml:space="preserve">2462 (77%)</w:t>
                  </w:r>
                </w:p>
              </w:tc>
            </w:tr>
            <w:tr>
              <w:tc>
                <w:tcPr/>
                <w:p>
                  <w:pPr>
                    <w:pStyle w:val="Compact"/>
                    <w:jc w:val="center"/>
                  </w:pPr>
                  <w:r>
                    <w:t xml:space="preserve">  High</w:t>
                  </w:r>
                </w:p>
              </w:tc>
              <w:tc>
                <w:tcPr/>
                <w:p>
                  <w:pPr>
                    <w:pStyle w:val="Compact"/>
                    <w:jc w:val="center"/>
                  </w:pPr>
                  <w:r>
                    <w:t xml:space="preserve">1164 (19%)</w:t>
                  </w:r>
                </w:p>
              </w:tc>
              <w:tc>
                <w:tcPr/>
                <w:p>
                  <w:pPr>
                    <w:pStyle w:val="Compact"/>
                    <w:jc w:val="center"/>
                  </w:pPr>
                  <w:r>
                    <w:t xml:space="preserve">561 (19%)</w:t>
                  </w:r>
                </w:p>
              </w:tc>
              <w:tc>
                <w:tcPr/>
                <w:p>
                  <w:pPr>
                    <w:pStyle w:val="Compact"/>
                    <w:jc w:val="center"/>
                  </w:pPr>
                  <w:r>
                    <w:t xml:space="preserve">603 (19%)</w:t>
                  </w:r>
                </w:p>
              </w:tc>
            </w:tr>
            <w:tr>
              <w:tc>
                <w:tcPr>
                  <w:gridSpan w:val="4"/>
                </w:tcPr>
                <w:p>
                  <w:pPr>
                    <w:pStyle w:val="Compact"/>
                    <w:jc w:val="center"/>
                  </w:pPr>
                  <w:r>
                    <w:rPr>
                      <w:b/>
                      <w:bCs/>
                    </w:rPr>
                    <w:t xml:space="preserve">Paternal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349 (7%)</w:t>
                  </w:r>
                </w:p>
              </w:tc>
              <w:tc>
                <w:tcPr/>
                <w:p>
                  <w:pPr>
                    <w:pStyle w:val="Compact"/>
                    <w:jc w:val="center"/>
                  </w:pPr>
                  <w:r>
                    <w:t xml:space="preserve">165 (6%)</w:t>
                  </w:r>
                </w:p>
              </w:tc>
              <w:tc>
                <w:tcPr/>
                <w:p>
                  <w:pPr>
                    <w:pStyle w:val="Compact"/>
                    <w:jc w:val="center"/>
                  </w:pPr>
                  <w:r>
                    <w:t xml:space="preserve">184 (7%)</w:t>
                  </w:r>
                </w:p>
              </w:tc>
            </w:tr>
            <w:tr>
              <w:tc>
                <w:tcPr/>
                <w:p>
                  <w:pPr>
                    <w:pStyle w:val="Compact"/>
                    <w:jc w:val="center"/>
                  </w:pPr>
                  <w:r>
                    <w:t xml:space="preserve">  Medium</w:t>
                  </w:r>
                </w:p>
              </w:tc>
              <w:tc>
                <w:tcPr/>
                <w:p>
                  <w:pPr>
                    <w:pStyle w:val="Compact"/>
                    <w:jc w:val="center"/>
                  </w:pPr>
                  <w:r>
                    <w:t xml:space="preserve">3475 (66%)</w:t>
                  </w:r>
                </w:p>
              </w:tc>
              <w:tc>
                <w:tcPr/>
                <w:p>
                  <w:pPr>
                    <w:pStyle w:val="Compact"/>
                    <w:jc w:val="center"/>
                  </w:pPr>
                  <w:r>
                    <w:t xml:space="preserve">1676 (65%)</w:t>
                  </w:r>
                </w:p>
              </w:tc>
              <w:tc>
                <w:tcPr/>
                <w:p>
                  <w:pPr>
                    <w:pStyle w:val="Compact"/>
                    <w:jc w:val="center"/>
                  </w:pPr>
                  <w:r>
                    <w:t xml:space="preserve">1799 (66%)</w:t>
                  </w:r>
                </w:p>
              </w:tc>
            </w:tr>
            <w:tr>
              <w:tc>
                <w:tcPr/>
                <w:p>
                  <w:pPr>
                    <w:pStyle w:val="Compact"/>
                    <w:jc w:val="center"/>
                  </w:pPr>
                  <w:r>
                    <w:t xml:space="preserve">  High</w:t>
                  </w:r>
                </w:p>
              </w:tc>
              <w:tc>
                <w:tcPr/>
                <w:p>
                  <w:pPr>
                    <w:pStyle w:val="Compact"/>
                    <w:jc w:val="center"/>
                  </w:pPr>
                  <w:r>
                    <w:t xml:space="preserve">1469 (28%)</w:t>
                  </w:r>
                </w:p>
              </w:tc>
              <w:tc>
                <w:tcPr/>
                <w:p>
                  <w:pPr>
                    <w:pStyle w:val="Compact"/>
                    <w:jc w:val="center"/>
                  </w:pPr>
                  <w:r>
                    <w:t xml:space="preserve">730 (28%)</w:t>
                  </w:r>
                </w:p>
              </w:tc>
              <w:tc>
                <w:tcPr/>
                <w:p>
                  <w:pPr>
                    <w:pStyle w:val="Compact"/>
                    <w:jc w:val="center"/>
                  </w:pPr>
                  <w:r>
                    <w:t xml:space="preserve">739 (27%)</w:t>
                  </w:r>
                </w:p>
              </w:tc>
            </w:tr>
            <w:tr>
              <w:tc>
                <w:tcPr>
                  <w:gridSpan w:val="4"/>
                </w:tcPr>
                <w:p>
                  <w:pPr>
                    <w:pStyle w:val="Compact"/>
                    <w:jc w:val="center"/>
                  </w:pPr>
                  <w:r>
                    <w:t xml:space="preserve"> </w:t>
                  </w:r>
                  <w:r>
                    <w:rPr>
                      <w:vertAlign w:val="superscript"/>
                    </w:rPr>
                    <w:t xml:space="preserve">a</w:t>
                  </w:r>
                  <w:r>
                    <w:t xml:space="preserve"> </w:t>
                  </w:r>
                  <w:r>
                    <w:rPr>
                      <w:b/>
                      <w:bCs/>
                    </w:rPr>
                    <w:t xml:space="preserve">Ethnic backgroung</w:t>
                  </w:r>
                  <w:r>
                    <w:t xml:space="preserve">:</w:t>
                  </w:r>
                  <w:r>
                    <w:br/>
                  </w:r>
                  <w:r>
                    <w:t xml:space="preserve">"White" if both patents identified as "White"; "Non-white" if either parent identified as "Black Caribbean",</w:t>
                  </w:r>
                  <w:r>
                    <w:t xml:space="preserve"> </w:t>
                  </w:r>
                  <w:r>
                    <w:t xml:space="preserve">"Black African", "Other black", "Indian", "Pakistani", "Bangladeshi", "Chinese", or "Other".</w:t>
                  </w:r>
                </w:p>
              </w:tc>
            </w:tr>
          </w:tbl>
          <w:bookmarkEnd w:id="429"/>
          <w:p/>
        </w:tc>
      </w:tr>
    </w:tbl>
    <w:bookmarkEnd w:id="430"/>
    <w:bookmarkStart w:id="436" w:name="main-results"/>
    <w:p>
      <w:pPr>
        <w:pStyle w:val="Heading3"/>
      </w:pPr>
      <w:r>
        <w:t xml:space="preserve">Main results</w:t>
      </w:r>
    </w:p>
    <w:p>
      <w:pPr>
        <w:pStyle w:val="FirstParagraph"/>
      </w:pPr>
      <w:r>
        <w:t xml:space="preserve">Results of the main analyses, examining the co-development of depressive symptoms and FMI, are summarized in</w:t>
      </w:r>
      <w:r>
        <w:t xml:space="preserve"> </w:t>
      </w:r>
      <w:hyperlink w:anchor="tbl-6.2">
        <w:r>
          <w:rPr>
            <w:rStyle w:val="Hyperlink"/>
          </w:rPr>
          <w:t xml:space="preserve">Table 6.2</w:t>
        </w:r>
      </w:hyperlink>
      <w:r>
        <w:t xml:space="preserve"> </w:t>
      </w:r>
      <w:r>
        <w:t xml:space="preserve">and</w:t>
      </w:r>
      <w:r>
        <w:t xml:space="preserve"> </w:t>
      </w:r>
      <w:hyperlink w:anchor="fig-6.2">
        <w:r>
          <w:rPr>
            <w:rStyle w:val="Hyperlink"/>
          </w:rPr>
          <w:t xml:space="preserve">Figure 6.2</w:t>
        </w:r>
      </w:hyperlink>
      <w:r>
        <w:t xml:space="preserve">. The model showed good fit (</w:t>
      </w:r>
      <m:oMath>
        <m:sSup>
          <m:e>
            <m:r>
              <m:t>χ</m:t>
            </m:r>
          </m:e>
          <m:sup>
            <m:r>
              <m:t>2</m:t>
            </m:r>
          </m:sup>
        </m:sSup>
      </m:oMath>
      <w:r>
        <w:t xml:space="preserve">(37) = 356.77,</w:t>
      </w:r>
      <w:r>
        <w:t xml:space="preserve"> </w:t>
      </w:r>
      <w:r>
        <w:rPr>
          <w:i/>
          <w:iCs/>
        </w:rPr>
        <w:t xml:space="preserve">p</w:t>
      </w:r>
      <w:r>
        <w:t xml:space="preserve">&lt;0.001; RMSEA [95%CI] = 0.033 [0.030-0.036]; CFI = 0.991; TLI = 0.983; SRMR = 0.027).</w:t>
      </w:r>
    </w:p>
    <w:p>
      <w:pPr>
        <w:pStyle w:val="BodyText"/>
      </w:pPr>
      <w:r>
        <w:t xml:space="preserve">We found positive auto-regressive associations, indicating substantial within-person stability over time in FMI (mean</w:t>
      </w:r>
      <w:r>
        <w:t xml:space="preserve"> </w:t>
      </w:r>
      <m:oMath>
        <m:r>
          <m:t>β</m:t>
        </m:r>
      </m:oMath>
      <w:r>
        <w:t xml:space="preserve"> </w:t>
      </w:r>
      <w:r>
        <w:t xml:space="preserve">[range] = 0.75 [0.54; 0.84], SE = 0.016) and, to a lower extent, in depressive symptoms (</w:t>
      </w:r>
      <m:oMath>
        <m:r>
          <m:t>β</m:t>
        </m:r>
      </m:oMath>
      <w:r>
        <w:t xml:space="preserve"> </w:t>
      </w:r>
      <w:r>
        <w:t xml:space="preserve">[range] = 0.26 [0.12; 0.38], SE = 0.022).</w:t>
      </w:r>
    </w:p>
    <w:p>
      <w:pPr>
        <w:pStyle w:val="BodyText"/>
      </w:pPr>
      <w:r>
        <w:t xml:space="preserve">After accounting for within-person (i.e., autoregressive associations) and between-person stability (i.e., random intercepts), the following within-person cross-lag dynamics emerged from our models (</w:t>
      </w:r>
      <w:hyperlink w:anchor="tbl-6.2">
        <w:r>
          <w:rPr>
            <w:rStyle w:val="Hyperlink"/>
          </w:rPr>
          <w:t xml:space="preserve">Table 6.2</w:t>
        </w:r>
      </w:hyperlink>
      <w:r>
        <w:t xml:space="preserve">): higher FMI was associated with increased subsequent depressive symptoms across the study period, except between 12 and 14 years (</w:t>
      </w:r>
      <m:oMath>
        <m:r>
          <m:t>β</m:t>
        </m:r>
      </m:oMath>
      <w:r>
        <w:t xml:space="preserve"> </w:t>
      </w:r>
      <w:r>
        <w:t xml:space="preserve">[range] = 0.07 [0.03, 0.13], SE = 0.030); higher depressive symptoms were associated with increased subsequent FMI, although these associations were weaker on average, compared to those between FMI and future depressive symptoms (</w:t>
      </w:r>
      <m:oMath>
        <m:r>
          <m:t>β</m:t>
        </m:r>
      </m:oMath>
      <w:r>
        <w:t xml:space="preserve"> </w:t>
      </w:r>
      <w:r>
        <w:t xml:space="preserve">[range] = 0.04 [0.03, 0.06], SE = 0.01).</w:t>
      </w:r>
    </w:p>
    <w:tbl>
      <w:tblPr>
        <w:tblStyle w:val="Table"/>
        <w:tblW w:type="pct" w:w="5000"/>
        <w:tblLayout w:type="fixed"/>
        <w:tblLook w:firstRow="0" w:lastRow="0" w:firstColumn="0" w:lastColumn="0" w:noHBand="0" w:noVBand="0" w:val="0000"/>
      </w:tblPr>
      <w:tblGrid>
        <w:gridCol w:w="7920"/>
      </w:tblGrid>
      <w:tr>
        <w:tc>
          <w:tcPr/>
          <w:bookmarkStart w:id="431" w:name="tbl-6.2"/>
          <w:p>
            <w:pPr>
              <w:jc w:val="center"/>
            </w:pPr>
            <w:pPr>
              <w:jc w:val="start"/>
              <w:spacing w:before="200"/>
              <w:pStyle w:val="ImageCaption"/>
            </w:pPr>
            <w:r>
              <w:t xml:space="preserve">Table 6.2</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gridSpan w:val="7"/>
                </w:tcPr>
                <w:p>
                  <w:pPr>
                    <w:pStyle w:val="Compact"/>
                    <w:jc w:val="center"/>
                  </w:pPr>
                  <w:r>
                    <w:rPr>
                      <w:b/>
                      <w:bCs/>
                    </w:rPr>
                    <w:t xml:space="preserve">Auto-regressive and cross-lag associations</w:t>
                  </w:r>
                  <w:r>
                    <w:br/>
                  </w:r>
                  <w:r>
                    <w:t xml:space="preserve">between depressive symptoms and FMI</w:t>
                  </w:r>
                </w:p>
              </w:tc>
            </w:tr>
            <w:tr>
              <w:trPr>
                <w:tblHeader w:val="on"/>
              </w:trPr>
              <w:tc>
                <w:tcPr>
                  <w:gridSpan w:val="3"/>
                </w:tcPr>
                <w:p>
                  <w:pPr>
                    <w:pStyle w:val="Compact"/>
                    <w:jc w:val="left"/>
                    <w:jc w:val="center"/>
                  </w:pPr>
                  <w:r>
                    <w:t xml:space="preserve">Term</w:t>
                  </w:r>
                </w:p>
              </w:tc>
              <w:tc>
                <w:tcPr/>
                <w:p>
                  <w:pPr>
                    <w:pStyle w:val="Compact"/>
                    <w:jc w:val="center"/>
                  </w:pPr>
                  <w:r>
                    <w:t xml:space="preserve">Estimate</w:t>
                  </w:r>
                  <w:r>
                    <w:br/>
                  </w:r>
                  <w:r>
                    <w:t xml:space="preserve">[95%CI]</w:t>
                  </w:r>
                </w:p>
              </w:tc>
              <w:tc>
                <w:tcPr/>
                <w:p>
                  <w:pPr>
                    <w:pStyle w:val="Compact"/>
                    <w:jc w:val="center"/>
                  </w:pPr>
                  <w:r>
                    <w:t xml:space="preserve">Median age</w:t>
                  </w:r>
                  <w:r>
                    <w:br/>
                  </w:r>
                  <w:r>
                    <w:t xml:space="preserve">(years)</w:t>
                  </w:r>
                </w:p>
              </w:tc>
              <w:tc>
                <w:tcPr/>
                <w:p>
                  <w:pPr>
                    <w:pStyle w:val="Compact"/>
                    <w:jc w:val="center"/>
                  </w:pPr>
                  <w:r>
                    <w:t xml:space="preserve">Time lag</w:t>
                  </w:r>
                  <w:r>
                    <w:br/>
                  </w:r>
                  <w:r>
                    <w:t xml:space="preserve">(years)</w:t>
                  </w:r>
                </w:p>
              </w:tc>
              <w:tc>
                <w:tcPr/>
                <w:p>
                  <w:pPr>
                    <w:pStyle w:val="Compact"/>
                    <w:jc w:val="center"/>
                  </w:pPr>
                  <w:r>
                    <w:t xml:space="preserve">Yearly</w:t>
                  </w:r>
                  <w:r>
                    <w:br/>
                  </w:r>
                  <w:r>
                    <w:t xml:space="preserve">estimate [95%CI]</w:t>
                  </w:r>
                </w:p>
              </w:tc>
            </w:tr>
            <w:tr>
              <w:tc>
                <w:tcPr>
                  <w:vMerge w:val="restart"/>
                </w:tcPr>
                <w:p>
                  <w:pPr>
                    <w:pStyle w:val="Compact"/>
                    <w:jc w:val="center"/>
                  </w:pPr>
                  <w:r>
                    <w:rPr>
                      <w:b/>
                      <w:bCs/>
                    </w:rPr>
                    <w:t xml:space="preserve">Auto-regressive associations</w:t>
                  </w:r>
                </w:p>
              </w:tc>
              <w:tc>
                <w:tcPr>
                  <w:vMerge w:val="restart"/>
                </w:tcPr>
                <w:p>
                  <w:pPr>
                    <w:pStyle w:val="Compact"/>
                    <w:jc w:val="center"/>
                  </w:pPr>
                  <w:r>
                    <w:t xml:space="preserve">Fat mass index (FMI)</w:t>
                  </w:r>
                </w:p>
              </w:tc>
              <w:tc>
                <w:tcPr/>
                <w:p>
                  <w:pPr>
                    <w:pStyle w:val="Compact"/>
                    <w:jc w:val="center"/>
                  </w:pPr>
                  <w:r>
                    <w:t xml:space="preserve">1</w:t>
                  </w:r>
                </w:p>
              </w:tc>
              <w:tc>
                <w:tcPr/>
                <w:p>
                  <w:pPr>
                    <w:pStyle w:val="Compact"/>
                    <w:jc w:val="center"/>
                  </w:pPr>
                  <w:r>
                    <w:rPr>
                      <w:b/>
                      <w:bCs/>
                    </w:rPr>
                    <w:t xml:space="preserve">0.84 [0.82; 0.85]</w:t>
                  </w:r>
                </w:p>
              </w:tc>
              <w:tc>
                <w:tcPr/>
                <w:p>
                  <w:pPr>
                    <w:pStyle w:val="Compact"/>
                    <w:jc w:val="center"/>
                  </w:pPr>
                  <w:r>
                    <w:t xml:space="preserve">9.8 → 11.8</w:t>
                  </w:r>
                </w:p>
              </w:tc>
              <w:tc>
                <w:tcPr/>
                <w:p>
                  <w:pPr>
                    <w:pStyle w:val="Compact"/>
                    <w:jc w:val="center"/>
                  </w:pPr>
                  <w:r>
                    <w:t xml:space="preserve">2.0</w:t>
                  </w:r>
                </w:p>
              </w:tc>
              <w:tc>
                <w:tcPr/>
                <w:p>
                  <w:pPr>
                    <w:pStyle w:val="Compact"/>
                    <w:jc w:val="center"/>
                  </w:pPr>
                  <w:r>
                    <w:t xml:space="preserve">0.42 [0.41; 0.43]</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rPr>
                      <w:b/>
                      <w:bCs/>
                    </w:rPr>
                    <w:t xml:space="preserve">0.73 [0.71; 0.76]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0.37 [0.36; 0.38]</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0.84 [0.82; 0.85]</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0.52 [0.51; 0.53]</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0.82 [0.80; 0.84]</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0.34 [0.33; 0.35]</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0.54 [0.47; 0.60]</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0.08 [0.07; 0.09]</w:t>
                  </w:r>
                </w:p>
              </w:tc>
            </w:tr>
            <w:tr>
              <w:tc>
                <w:tcPr>
                  <w:gridSpan w:val="1"/>
                  <w:vMerge w:val="continue"/>
                </w:tcPr>
                <w:p>
                  <w:pPr/>
                </w:p>
              </w:tc>
              <w:tc>
                <w:tcPr>
                  <w:vMerge w:val="restart"/>
                </w:tcPr>
                <w:p>
                  <w:pPr>
                    <w:pStyle w:val="Compact"/>
                    <w:jc w:val="center"/>
                  </w:pPr>
                  <w:r>
                    <w:t xml:space="preserve">Depressive symptoms</w:t>
                  </w:r>
                </w:p>
              </w:tc>
              <w:tc>
                <w:tcPr/>
                <w:p>
                  <w:pPr>
                    <w:pStyle w:val="Compact"/>
                    <w:jc w:val="center"/>
                  </w:pPr>
                  <w:r>
                    <w:t xml:space="preserve">1</w:t>
                  </w:r>
                </w:p>
              </w:tc>
              <w:tc>
                <w:tcPr/>
                <w:p>
                  <w:pPr>
                    <w:pStyle w:val="Compact"/>
                    <w:jc w:val="center"/>
                  </w:pPr>
                  <w:r>
                    <w:rPr>
                      <w:b/>
                      <w:bCs/>
                    </w:rPr>
                    <w:t xml:space="preserve">0.12 [0.08; 0.16]</w:t>
                  </w:r>
                </w:p>
              </w:tc>
              <w:tc>
                <w:tcPr/>
                <w:p>
                  <w:pPr>
                    <w:pStyle w:val="Compact"/>
                    <w:jc w:val="center"/>
                  </w:pPr>
                  <w:r>
                    <w:t xml:space="preserve">10.6 → 12.8</w:t>
                  </w:r>
                </w:p>
              </w:tc>
              <w:tc>
                <w:tcPr/>
                <w:p>
                  <w:pPr>
                    <w:pStyle w:val="Compact"/>
                    <w:jc w:val="center"/>
                  </w:pPr>
                  <w:r>
                    <w:t xml:space="preserve">2.2</w:t>
                  </w:r>
                </w:p>
              </w:tc>
              <w:tc>
                <w:tcPr/>
                <w:p>
                  <w:pPr>
                    <w:pStyle w:val="Compact"/>
                    <w:jc w:val="center"/>
                  </w:pPr>
                  <w:r>
                    <w:t xml:space="preserve">0.05 [0.04; 0.07]</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rPr>
                      <w:b/>
                      <w:bCs/>
                    </w:rPr>
                    <w:t xml:space="preserve">0.32 [0.28; 0.35]</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0.32 [0.28; 0.35]</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0.21 [0.18; 0.25]</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0.08 [0.06; 0.09]</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0.38 [0.34; 0.42]</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0.31 [0.28; 0.35]</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0.26 [0.21; 0.30]</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0.04 [0.03; 0.05]</w:t>
                  </w:r>
                </w:p>
              </w:tc>
            </w:tr>
            <w:tr>
              <w:tc>
                <w:tcPr>
                  <w:vMerge w:val="restart"/>
                </w:tcPr>
                <w:p>
                  <w:pPr>
                    <w:pStyle w:val="Compact"/>
                    <w:jc w:val="center"/>
                  </w:pPr>
                  <w:r>
                    <w:rPr>
                      <w:b/>
                      <w:bCs/>
                    </w:rPr>
                    <w:t xml:space="preserve">Cross-lag associations</w:t>
                  </w:r>
                </w:p>
              </w:tc>
              <w:tc>
                <w:tcPr>
                  <w:vMerge w:val="restart"/>
                </w:tcPr>
                <w:p>
                  <w:pPr>
                    <w:pStyle w:val="Compact"/>
                    <w:jc w:val="center"/>
                  </w:pPr>
                  <w:r>
                    <w:t xml:space="preserve">FMI→Dep</w:t>
                  </w:r>
                </w:p>
              </w:tc>
              <w:tc>
                <w:tcPr/>
                <w:p>
                  <w:pPr>
                    <w:pStyle w:val="Compact"/>
                    <w:jc w:val="center"/>
                  </w:pPr>
                  <w:r>
                    <w:t xml:space="preserve">1</w:t>
                  </w:r>
                </w:p>
              </w:tc>
              <w:tc>
                <w:tcPr/>
                <w:p>
                  <w:pPr>
                    <w:pStyle w:val="Compact"/>
                    <w:jc w:val="center"/>
                  </w:pPr>
                  <w:r>
                    <w:rPr>
                      <w:b/>
                      <w:bCs/>
                    </w:rPr>
                    <w:t xml:space="preserve">0.04 [0.00; 0.09]</w:t>
                  </w:r>
                </w:p>
              </w:tc>
              <w:tc>
                <w:tcPr/>
                <w:p>
                  <w:pPr>
                    <w:pStyle w:val="Compact"/>
                    <w:jc w:val="center"/>
                  </w:pPr>
                  <w:r>
                    <w:t xml:space="preserve">9.8 → 12.8</w:t>
                  </w:r>
                </w:p>
              </w:tc>
              <w:tc>
                <w:tcPr/>
                <w:p>
                  <w:pPr>
                    <w:pStyle w:val="Compact"/>
                    <w:jc w:val="center"/>
                  </w:pPr>
                  <w:r>
                    <w:t xml:space="preserve">3.0</w:t>
                  </w:r>
                </w:p>
              </w:tc>
              <w:tc>
                <w:tcPr/>
                <w:p>
                  <w:pPr>
                    <w:pStyle w:val="Compact"/>
                    <w:jc w:val="center"/>
                  </w:pPr>
                  <w:r>
                    <w:t xml:space="preserve">0.01 [0.00; 0.03]</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t xml:space="preserve">0.03 [-0.01; 0.06]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0.01 [-0.01; 0.03]</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0.13 [0.09; 0.17]</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0.05 [0.03; 0.06]</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0.08 [0.03; 0.12]</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0.08 [0.03; 0.13]</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0.01 [0.01; 0.02]</w:t>
                  </w:r>
                </w:p>
              </w:tc>
            </w:tr>
            <w:tr>
              <w:tc>
                <w:tcPr>
                  <w:gridSpan w:val="1"/>
                  <w:vMerge w:val="continue"/>
                </w:tcPr>
                <w:p>
                  <w:pPr/>
                </w:p>
              </w:tc>
              <w:tc>
                <w:tcPr>
                  <w:vMerge w:val="restart"/>
                </w:tcPr>
                <w:p>
                  <w:pPr>
                    <w:pStyle w:val="Compact"/>
                    <w:jc w:val="center"/>
                  </w:pPr>
                  <w:r>
                    <w:t xml:space="preserve">Dep→FMI</w:t>
                  </w:r>
                </w:p>
              </w:tc>
              <w:tc>
                <w:tcPr/>
                <w:p>
                  <w:pPr>
                    <w:pStyle w:val="Compact"/>
                    <w:jc w:val="center"/>
                  </w:pPr>
                  <w:r>
                    <w:t xml:space="preserve">1</w:t>
                  </w:r>
                </w:p>
              </w:tc>
              <w:tc>
                <w:tcPr/>
                <w:p>
                  <w:pPr>
                    <w:pStyle w:val="Compact"/>
                    <w:jc w:val="center"/>
                  </w:pPr>
                  <w:r>
                    <w:rPr>
                      <w:b/>
                      <w:bCs/>
                    </w:rPr>
                    <w:t xml:space="preserve">0.03 [0.01; 0.05]</w:t>
                  </w:r>
                </w:p>
              </w:tc>
              <w:tc>
                <w:tcPr/>
                <w:p>
                  <w:pPr>
                    <w:pStyle w:val="Compact"/>
                    <w:jc w:val="center"/>
                  </w:pPr>
                  <w:r>
                    <w:t xml:space="preserve">10.6 → 11.8</w:t>
                  </w:r>
                </w:p>
              </w:tc>
              <w:tc>
                <w:tcPr/>
                <w:p>
                  <w:pPr>
                    <w:pStyle w:val="Compact"/>
                    <w:jc w:val="center"/>
                  </w:pPr>
                  <w:r>
                    <w:t xml:space="preserve">1.2</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rPr>
                      <w:b/>
                      <w:bCs/>
                    </w:rPr>
                    <w:t xml:space="preserve">0.04 [0.01; 0.06]</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0.04 [0.01; 0.06]</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0.05 [0.03; 0.07]</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0.03 [0.02; 0.04]</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0.03 [0.00; 0.05]</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0.02 [0.00; 0.04]</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rPr>
                      <w:b/>
                      <w:bCs/>
                    </w:rPr>
                    <w:t xml:space="preserve">0.06 [0.00; 0.12]</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0.01 [0.00; 0.02]</w:t>
                  </w:r>
                </w:p>
              </w:tc>
            </w:tr>
            <w:tr>
              <w:tc>
                <w:tcPr>
                  <w:vMerge w:val="restart"/>
                </w:tcPr>
                <w:p>
                  <w:pPr>
                    <w:pStyle w:val="Compact"/>
                    <w:jc w:val="center"/>
                  </w:pPr>
                  <w:r>
                    <w:rPr>
                      <w:b/>
                      <w:bCs/>
                    </w:rPr>
                    <w:t xml:space="preserve">Cross-sectional correlations</w:t>
                  </w:r>
                </w:p>
              </w:tc>
              <w:tc>
                <w:tcPr>
                  <w:vMerge w:val="restart"/>
                </w:tcPr>
                <w:p>
                  <w:pPr>
                    <w:pStyle w:val="Compact"/>
                    <w:jc w:val="center"/>
                  </w:pPr>
                  <w:r>
                    <w:t xml:space="preserve">FMI ~ Dep</w:t>
                  </w:r>
                </w:p>
              </w:tc>
              <w:tc>
                <w:tcPr/>
                <w:p>
                  <w:pPr>
                    <w:pStyle w:val="Compact"/>
                    <w:jc w:val="center"/>
                  </w:pPr>
                  <w:r>
                    <w:t xml:space="preserve">1</w:t>
                  </w:r>
                </w:p>
              </w:tc>
              <w:tc>
                <w:tcPr/>
                <w:p>
                  <w:pPr>
                    <w:pStyle w:val="Compact"/>
                    <w:jc w:val="center"/>
                  </w:pPr>
                  <w:r>
                    <w:rPr>
                      <w:b/>
                      <w:bCs/>
                    </w:rPr>
                    <w:t xml:space="preserve">-0.08 [-0.12; -0.04]</w:t>
                  </w:r>
                </w:p>
              </w:tc>
              <w:tc>
                <w:tcPr/>
                <w:p>
                  <w:pPr>
                    <w:pStyle w:val="Compact"/>
                    <w:jc w:val="center"/>
                  </w:pPr>
                  <w:r>
                    <w:t xml:space="preserve">9.8 ~ 10.6</w:t>
                  </w:r>
                </w:p>
              </w:tc>
              <w:tc>
                <w:tcPr/>
                <w:p>
                  <w:pPr>
                    <w:pStyle w:val="Compact"/>
                    <w:jc w:val="center"/>
                  </w:pPr>
                  <w:r>
                    <w:t xml:space="preserve">0.8</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2</w:t>
                  </w:r>
                </w:p>
              </w:tc>
              <w:tc>
                <w:tcPr/>
                <w:p>
                  <w:pPr>
                    <w:pStyle w:val="Compact"/>
                    <w:jc w:val="center"/>
                  </w:pPr>
                  <w:r>
                    <w:t xml:space="preserve">0.02 [-0.02; 0.06]</w:t>
                  </w:r>
                </w:p>
              </w:tc>
              <w:tc>
                <w:tcPr/>
                <w:p>
                  <w:pPr>
                    <w:pStyle w:val="Compact"/>
                    <w:jc w:val="center"/>
                  </w:pPr>
                  <w:r>
                    <w:t xml:space="preserve">11.8 ~ 12.8</w:t>
                  </w:r>
                </w:p>
              </w:tc>
              <w:tc>
                <w:tcPr/>
                <w:p>
                  <w:pPr>
                    <w:pStyle w:val="Compact"/>
                    <w:jc w:val="center"/>
                  </w:pPr>
                  <w:r>
                    <w:t xml:space="preserve">1.0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3</w:t>
                  </w:r>
                </w:p>
              </w:tc>
              <w:tc>
                <w:tcPr/>
                <w:p>
                  <w:pPr>
                    <w:pStyle w:val="Compact"/>
                    <w:jc w:val="center"/>
                  </w:pPr>
                  <w:r>
                    <w:rPr>
                      <w:b/>
                      <w:bCs/>
                    </w:rPr>
                    <w:t xml:space="preserve">0.10 [0.07; 0.13]</w:t>
                  </w:r>
                </w:p>
              </w:tc>
              <w:tc>
                <w:tcPr/>
                <w:p>
                  <w:pPr>
                    <w:pStyle w:val="Compact"/>
                    <w:jc w:val="center"/>
                  </w:pPr>
                  <w:r>
                    <w:t xml:space="preserve">13.8 ~ 13.8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4</w:t>
                  </w:r>
                </w:p>
              </w:tc>
              <w:tc>
                <w:tcPr/>
                <w:p>
                  <w:pPr>
                    <w:pStyle w:val="Compact"/>
                    <w:jc w:val="center"/>
                  </w:pPr>
                  <w:r>
                    <w:rPr>
                      <w:b/>
                      <w:bCs/>
                    </w:rPr>
                    <w:t xml:space="preserve">0.11 [0.07; 0.14]</w:t>
                  </w:r>
                </w:p>
              </w:tc>
              <w:tc>
                <w:tcPr/>
                <w:p>
                  <w:pPr>
                    <w:pStyle w:val="Compact"/>
                    <w:jc w:val="center"/>
                  </w:pPr>
                  <w:r>
                    <w:t xml:space="preserve">15.4 ~ 16.6</w:t>
                  </w:r>
                </w:p>
              </w:tc>
              <w:tc>
                <w:tcPr/>
                <w:p>
                  <w:pPr>
                    <w:pStyle w:val="Compact"/>
                    <w:jc w:val="center"/>
                  </w:pPr>
                  <w:r>
                    <w:t xml:space="preserve">1.2</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5</w:t>
                  </w:r>
                </w:p>
              </w:tc>
              <w:tc>
                <w:tcPr/>
                <w:p>
                  <w:pPr>
                    <w:pStyle w:val="Compact"/>
                    <w:jc w:val="center"/>
                  </w:pPr>
                  <w:r>
                    <w:t xml:space="preserve">-0.02 [-0.06; 0.01]</w:t>
                  </w:r>
                </w:p>
              </w:tc>
              <w:tc>
                <w:tcPr/>
                <w:p>
                  <w:pPr>
                    <w:pStyle w:val="Compact"/>
                    <w:jc w:val="center"/>
                  </w:pPr>
                  <w:r>
                    <w:t xml:space="preserve">17.8 ~ 17.8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center"/>
                  </w:pPr>
                  <w:r>
                    <w:t xml:space="preserve">6</w:t>
                  </w:r>
                </w:p>
              </w:tc>
              <w:tc>
                <w:tcPr/>
                <w:p>
                  <w:pPr>
                    <w:pStyle w:val="Compact"/>
                    <w:jc w:val="center"/>
                  </w:pPr>
                  <w:r>
                    <w:rPr>
                      <w:b/>
                      <w:bCs/>
                    </w:rPr>
                    <w:t xml:space="preserve">0.10 [0.03; 0.17]</w:t>
                  </w:r>
                </w:p>
              </w:tc>
              <w:tc>
                <w:tcPr/>
                <w:p>
                  <w:pPr>
                    <w:pStyle w:val="Compact"/>
                    <w:jc w:val="center"/>
                  </w:pPr>
                  <w:r>
                    <w:t xml:space="preserve">23.8 ~ 24.5</w:t>
                  </w:r>
                </w:p>
              </w:tc>
              <w:tc>
                <w:tcPr/>
                <w:p>
                  <w:pPr>
                    <w:pStyle w:val="Compact"/>
                    <w:jc w:val="center"/>
                  </w:pPr>
                  <w:r>
                    <w:t xml:space="preserve">0.7</w:t>
                  </w:r>
                </w:p>
              </w:tc>
              <w:tc>
                <w:tcPr/>
                <w:p>
                  <w:pPr>
                    <w:pStyle w:val="Compact"/>
                    <w:jc w:val="center"/>
                  </w:pPr>
                  <w:r>
                    <w:t xml:space="preserve"> </w:t>
                  </w:r>
                </w:p>
              </w:tc>
            </w:tr>
          </w:tbl>
          <w:bookmarkEnd w:id="431"/>
          <w:p/>
        </w:tc>
      </w:tr>
    </w:tbl>
    <w:p/>
    <w:tbl>
      <w:tblPr>
        <w:tblStyle w:val="Table"/>
        <w:tblW w:type="pct" w:w="5000"/>
        <w:tblLayout w:type="fixed"/>
        <w:tblLook w:firstRow="0" w:lastRow="0" w:firstColumn="0" w:lastColumn="0" w:noHBand="0" w:noVBand="0" w:val="0000"/>
      </w:tblPr>
      <w:tblGrid>
        <w:gridCol w:w="7920"/>
      </w:tblGrid>
      <w:tr>
        <w:tc>
          <w:tcPr/>
          <w:bookmarkStart w:id="435" w:name="fig-6.2"/>
          <w:p>
            <w:pPr>
              <w:pStyle w:val="Compact"/>
              <w:jc w:val="center"/>
            </w:pPr>
            <w:r>
              <w:drawing>
                <wp:inline>
                  <wp:extent cx="5943600" cy="3887009"/>
                  <wp:effectExtent b="0" l="0" r="0" t="0"/>
                  <wp:docPr descr="" title="" id="433" name="Picture"/>
                  <a:graphic>
                    <a:graphicData uri="http://schemas.openxmlformats.org/drawingml/2006/picture">
                      <pic:pic>
                        <pic:nvPicPr>
                          <pic:cNvPr descr="6.Chapter/Figures/F2_resdag.png" id="434" name="Picture"/>
                          <pic:cNvPicPr>
                            <a:picLocks noChangeArrowheads="1" noChangeAspect="1"/>
                          </pic:cNvPicPr>
                        </pic:nvPicPr>
                        <pic:blipFill>
                          <a:blip r:embed="rId432"/>
                          <a:stretch>
                            <a:fillRect/>
                          </a:stretch>
                        </pic:blipFill>
                        <pic:spPr bwMode="auto">
                          <a:xfrm>
                            <a:off x="0" y="0"/>
                            <a:ext cx="5943600" cy="3887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w:t>
            </w:r>
            <w:r>
              <w:t xml:space="preserve"> </w:t>
            </w:r>
            <w:r>
              <w:rPr>
                <w:b/>
                <w:bCs/>
              </w:rPr>
              <w:t xml:space="preserve">RI-CLPM of depressive symptoms and FMI</w:t>
            </w:r>
            <w:r>
              <w:t xml:space="preserve">(A) Results of the main analysis (i.e., beta values and their 95% confidence intervals) are displayed within their implied directed graph. Autoregressive associations are shown in red for FMI and in blue for depressive symptoms (Dep), while cross-lag effects are shown in yellow for FMI to depressive symptoms paths and in purple for depressive symptoms to FMI paths. Grey boxed enclose the correlation coefficients (and their 95% confidence intervals) between the two random intercepts, as well as the cross-sectional correlations between the two outcomes at each measurement wave.</w:t>
            </w:r>
          </w:p>
          <w:bookmarkEnd w:id="435"/>
        </w:tc>
      </w:tr>
    </w:tbl>
    <w:p>
      <w:pPr>
        <w:pStyle w:val="BodyText"/>
      </w:pPr>
      <w:r>
        <w:t xml:space="preserve">We additionally found a positive correlation between the random intercepts (</w:t>
      </w:r>
      <m:oMath>
        <m:r>
          <m:t>r</m:t>
        </m:r>
      </m:oMath>
      <w:r>
        <w:t xml:space="preserve"> [95%CI] = 0.11 [0.06-0.16]), suggesting some stability of between-person associations between depressive symptoms and FMI.</w:t>
      </w:r>
    </w:p>
    <w:bookmarkEnd w:id="436"/>
    <w:bookmarkStart w:id="444" w:name="exploratory-analysis-results"/>
    <w:p>
      <w:pPr>
        <w:pStyle w:val="Heading3"/>
      </w:pPr>
      <w:r>
        <w:t xml:space="preserve">Exploratory analysis results</w:t>
      </w:r>
    </w:p>
    <w:p>
      <w:pPr>
        <w:pStyle w:val="FirstParagraph"/>
      </w:pPr>
      <w:r>
        <w:t xml:space="preserve">Please visit the project</w:t>
      </w:r>
      <w:r>
        <w:t xml:space="preserve"> </w:t>
      </w:r>
      <w:hyperlink r:id="rId421">
        <w:r>
          <w:rPr>
            <w:rStyle w:val="Hyperlink"/>
          </w:rPr>
          <w:t xml:space="preserve">web-application</w:t>
        </w:r>
      </w:hyperlink>
      <w:r>
        <w:t xml:space="preserve"> </w:t>
      </w:r>
      <w:r>
        <w:t xml:space="preserve">for an interactive report of all results obtained from exploratory analyses. We highlight and summarize below a few key findings.</w:t>
      </w:r>
    </w:p>
    <w:bookmarkStart w:id="437" w:name="other-cardio-metabolic-risk-factors"/>
    <w:p>
      <w:pPr>
        <w:pStyle w:val="Heading4"/>
      </w:pPr>
      <w:r>
        <w:t xml:space="preserve">Other cardio-metabolic risk factors</w:t>
      </w:r>
    </w:p>
    <w:p>
      <w:pPr>
        <w:pStyle w:val="FirstParagraph"/>
      </w:pPr>
      <w:r>
        <w:t xml:space="preserve">The pattern of reciprocal cross-lag paths identified in the main analysis was remarkably consistent when lean mass (rather than fat mass) index was examined as a cardio-metabolic risk factor (average standardized</w:t>
      </w:r>
      <w:r>
        <w:t xml:space="preserve"> </w:t>
      </w:r>
      <m:oMath>
        <m:r>
          <m:t>β</m:t>
        </m:r>
      </m:oMath>
      <w:r>
        <w:t xml:space="preserve"> </w:t>
      </w:r>
      <w:r>
        <w:t xml:space="preserve">for LMI to depressive symptoms = -0.08, SE = 0.029; depressive symptoms to LMI = -0.04, SE = 0.007). When BMI was included in the model instead, only the prospective association between BMI and depressive symptoms remained (</w:t>
      </w:r>
      <m:oMath>
        <m:r>
          <m:t>β</m:t>
        </m:r>
      </m:oMath>
      <w:r>
        <w:t xml:space="preserve"> </w:t>
      </w:r>
      <w:r>
        <w:t xml:space="preserve">= 0.05, SE = 0.035), while depressive symptoms did not seem to affect future BMI (</w:t>
      </w:r>
      <m:oMath>
        <m:r>
          <m:t>β</m:t>
        </m:r>
      </m:oMath>
      <w:r>
        <w:t xml:space="preserve"> </w:t>
      </w:r>
      <w:r>
        <w:t xml:space="preserve">&lt; 0.01, SE = 0.008). Android fat mass and depressive symptoms showed reciprocal associations only between 14 and 16 years (android fat to depressive symptoms = 0.14 [0.06; 0.21]; depressive symptoms to android fat = 0.04 [0.01; 0.07]).</w:t>
      </w:r>
    </w:p>
    <w:p>
      <w:pPr>
        <w:pStyle w:val="BodyText"/>
      </w:pPr>
      <w:r>
        <w:t xml:space="preserve">Surprisingly, a positive within-person reciprocal association between depressive symptoms and HDL (but not LDL) cholesterol levels was detected, between 16 and 25 years (see</w:t>
      </w:r>
      <w:r>
        <w:t xml:space="preserve"> </w:t>
      </w:r>
      <w:hyperlink w:anchor="fig-6.3">
        <w:r>
          <w:rPr>
            <w:rStyle w:val="Hyperlink"/>
          </w:rPr>
          <w:t xml:space="preserve">Figure 6.3</w:t>
        </w:r>
      </w:hyperlink>
      <w:r>
        <w:t xml:space="preserve">). In contrast, the correlation between the random intercepts of depressive symptoms and HDL cholesterol was negative (-0.18 [-0.27; -0.09]).</w:t>
      </w:r>
      <w:r>
        <w:t xml:space="preserve"> </w:t>
      </w:r>
      <w:r>
        <w:t xml:space="preserve">We did not find evidence of direct associations in either direction when waist circumference, insulin, triglycerides, or CRP were considered in relation to self-reported depressive symptoms; however, a stable between-person association was detected for waist circumference (0.10 [0.04; 0.15]), insulin (0.12 [0.01; 0.23]) and CRP (0.11 [0.01; 0.20]).</w:t>
      </w:r>
    </w:p>
    <w:bookmarkEnd w:id="437"/>
    <w:bookmarkStart w:id="442" w:name="maternal-reports-of-depressive-symptoms"/>
    <w:p>
      <w:pPr>
        <w:pStyle w:val="Heading4"/>
      </w:pPr>
      <w:r>
        <w:t xml:space="preserve">Maternal reports of depressive symptoms</w:t>
      </w:r>
    </w:p>
    <w:p>
      <w:pPr>
        <w:pStyle w:val="FirstParagraph"/>
      </w:pPr>
      <w:r>
        <w:t xml:space="preserve">The reported findings were relatively consistent (albeit weaker) when maternal reports of depressive symptoms were used in place of self-reports (average standardized βs for FMI to depressive symptoms = 0.09, SE = 0.041; depressive symptoms to FMI = 0.04, SE = 0.013; see Figure S3). Please visit the project</w:t>
      </w:r>
      <w:r>
        <w:t xml:space="preserve"> </w:t>
      </w:r>
      <w:hyperlink r:id="rId421">
        <w:r>
          <w:rPr>
            <w:rStyle w:val="Hyperlink"/>
          </w:rPr>
          <w:t xml:space="preserve">web-application</w:t>
        </w:r>
      </w:hyperlink>
      <w:r>
        <w:t xml:space="preserve"> </w:t>
      </w:r>
      <w:r>
        <w:t xml:space="preserve">for a complete report of these findings.</w:t>
      </w:r>
    </w:p>
    <w:tbl>
      <w:tblPr>
        <w:tblStyle w:val="Table"/>
        <w:tblW w:type="pct" w:w="5000"/>
        <w:tblLayout w:type="fixed"/>
        <w:tblLook w:firstRow="0" w:lastRow="0" w:firstColumn="0" w:lastColumn="0" w:noHBand="0" w:noVBand="0" w:val="0000"/>
      </w:tblPr>
      <w:tblGrid>
        <w:gridCol w:w="7920"/>
      </w:tblGrid>
      <w:tr>
        <w:tc>
          <w:tcPr/>
          <w:bookmarkStart w:id="441" w:name="fig-6.3"/>
          <w:p>
            <w:pPr>
              <w:pStyle w:val="Compact"/>
              <w:jc w:val="center"/>
            </w:pPr>
            <w:r>
              <w:drawing>
                <wp:inline>
                  <wp:extent cx="5943600" cy="8215057"/>
                  <wp:effectExtent b="0" l="0" r="0" t="0"/>
                  <wp:docPr descr="" title="" id="439" name="Picture"/>
                  <a:graphic>
                    <a:graphicData uri="http://schemas.openxmlformats.org/drawingml/2006/picture">
                      <pic:pic>
                        <pic:nvPicPr>
                          <pic:cNvPr descr="6.Chapter/Figures/F3_resforrest.png" id="440" name="Picture"/>
                          <pic:cNvPicPr>
                            <a:picLocks noChangeArrowheads="1" noChangeAspect="1"/>
                          </pic:cNvPicPr>
                        </pic:nvPicPr>
                        <pic:blipFill>
                          <a:blip r:embed="rId438"/>
                          <a:stretch>
                            <a:fillRect/>
                          </a:stretch>
                        </pic:blipFill>
                        <pic:spPr bwMode="auto">
                          <a:xfrm>
                            <a:off x="0" y="0"/>
                            <a:ext cx="5943600" cy="82150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w:t>
            </w:r>
            <w:r>
              <w:t xml:space="preserve"> </w:t>
            </w:r>
            <w:r>
              <w:rPr>
                <w:b/>
                <w:bCs/>
              </w:rPr>
              <w:t xml:space="preserve">Cross-lag associations between depressive symptoms and cardio-metabolic risk factors</w:t>
            </w:r>
            <w:r>
              <w:t xml:space="preserve">(.)The standardised regression coefficients for the within-person cross-lag associations (and their 95% confidence intervals) are presented along the x-axis, for each alternative cardio-metabolic risk factor, listed on the y-axis. The temporal lag each estimate refers to is specified in years on the y-axis. Association estimates from cardio-metabolic risk factor to lagged depressive symptoms are presented in yellow on the left and those between depressive symptoms and lagged cardio-metabolic risk factor are shown in purple on the right. In the last column on the right of the graphs, the estimated correlation coefficient between the random intercepts of each construct (and its 95% confidence interval) is reported.</w:t>
            </w:r>
          </w:p>
          <w:bookmarkEnd w:id="441"/>
        </w:tc>
      </w:tr>
    </w:tbl>
    <w:bookmarkEnd w:id="442"/>
    <w:bookmarkStart w:id="443" w:name="X827ed987c4a5a6ec92c39f1bc316ee70e5b7bc2"/>
    <w:p>
      <w:pPr>
        <w:pStyle w:val="Heading4"/>
      </w:pPr>
      <w:r>
        <w:t xml:space="preserve">Alternative modelling approaches: the ALT-SR model</w:t>
      </w:r>
    </w:p>
    <w:p>
      <w:pPr>
        <w:pStyle w:val="FirstParagraph"/>
      </w:pPr>
      <w:r>
        <w:t xml:space="preserve">The results of exploratory models including random slopes are discussed in the supplement (</w:t>
      </w:r>
      <w:hyperlink r:id="rId412">
        <w:r>
          <w:rPr>
            <w:rStyle w:val="Hyperlink"/>
            <w:i/>
            <w:iCs/>
          </w:rPr>
          <w:t xml:space="preserve">Appendix S3</w:t>
        </w:r>
      </w:hyperlink>
      <w:r>
        <w:t xml:space="preserve"> </w:t>
      </w:r>
      <w:r>
        <w:t xml:space="preserve">and</w:t>
      </w:r>
      <w:r>
        <w:t xml:space="preserve"> </w:t>
      </w:r>
      <w:hyperlink r:id="rId412">
        <w:r>
          <w:rPr>
            <w:rStyle w:val="Hyperlink"/>
            <w:i/>
            <w:iCs/>
          </w:rPr>
          <w:t xml:space="preserve">Figure S4</w:t>
        </w:r>
      </w:hyperlink>
      <w:r>
        <w:t xml:space="preserve">). We highlight here only a few key findings. When between-person differences in developmental (linear) trends were considered in the model, a slightly different pattern of CL relationships emerged. In particular, the CL effects of fat / lean mass on later depression no longer peaked between 13-15 years but rather kept increasing linearly over time for the duration of follow-up (see</w:t>
      </w:r>
      <w:r>
        <w:t xml:space="preserve"> </w:t>
      </w:r>
      <w:hyperlink r:id="rId412">
        <w:r>
          <w:rPr>
            <w:rStyle w:val="Hyperlink"/>
            <w:i/>
            <w:iCs/>
          </w:rPr>
          <w:t xml:space="preserve">Figure S4</w:t>
        </w:r>
      </w:hyperlink>
      <w:r>
        <w:t xml:space="preserve">).</w:t>
      </w:r>
    </w:p>
    <w:bookmarkEnd w:id="443"/>
    <w:bookmarkEnd w:id="444"/>
    <w:bookmarkEnd w:id="445"/>
    <w:bookmarkStart w:id="453" w:name="discussion-4"/>
    <w:p>
      <w:pPr>
        <w:pStyle w:val="Heading2"/>
      </w:pPr>
      <w:r>
        <w:t xml:space="preserve">6.4 Discussion</w:t>
      </w:r>
    </w:p>
    <w:p>
      <w:pPr>
        <w:pStyle w:val="FirstParagraph"/>
      </w:pPr>
      <w:r>
        <w:t xml:space="preserve">In this population-based study, we characterized the between- and within-person associations governing the co-development of depressive symptoms and cardio-metabolic risk factors, from age 10 to 25 years. Specifically, we found bidirectional, within-person associations between depressive symptoms and adiposity (i.e., fat/lean mass index, but not body mass index). Adiposity was more stable over time, compared to depressive symptoms, and it had a stronger prospective association with future depressive symptoms compared to that between depressive symptom and future adiposity.</w:t>
      </w:r>
    </w:p>
    <w:bookmarkStart w:id="446" w:name="Xc32b2b4b9865d5a05db2770bccc520f96ec42fb"/>
    <w:p>
      <w:pPr>
        <w:pStyle w:val="Heading3"/>
      </w:pPr>
      <w:r>
        <w:t xml:space="preserve">The co-development of depressive symptoms and adiposity: fat vs. weight measures</w:t>
      </w:r>
    </w:p>
    <w:p>
      <w:pPr>
        <w:pStyle w:val="FirstParagraph"/>
      </w:pPr>
      <w:r>
        <w:t xml:space="preserve">Interestingly, the pattern of reciprocal associations between depressive symptoms and adiposity was only evident when using fat and lean mass measures, not BMI. The prospective relationship between earlier depressive symptoms and later BMI was not detectable, similar to what has been reported in previous genetic</w:t>
      </w:r>
      <w:r>
        <w:t xml:space="preserve"> </w:t>
      </w:r>
      <w:r>
        <w:t xml:space="preserve">(Jokela &amp; Laakasuo, 2023)</w:t>
      </w:r>
      <w:r>
        <w:t xml:space="preserve"> </w:t>
      </w:r>
      <w:r>
        <w:t xml:space="preserve">and longitudinal epidemiological studies conducted in children</w:t>
      </w:r>
      <w:r>
        <w:t xml:space="preserve"> </w:t>
      </w:r>
      <w:r>
        <w:t xml:space="preserve">(Bradley et al., 2008; Jansen et al., 2013; Patalay &amp; Hardman, 2019)</w:t>
      </w:r>
      <w:r>
        <w:t xml:space="preserve">.</w:t>
      </w:r>
    </w:p>
    <w:p>
      <w:pPr>
        <w:pStyle w:val="BodyText"/>
      </w:pPr>
      <w:r>
        <w:t xml:space="preserve">This is important because, despite its popularity, BMI is not the best indicator of cardio-metabolic risk (e.g., a high BMI may also reflect high muscle mass, and a normal BMI does not exclude a high body fat percentage)</w:t>
      </w:r>
      <w:r>
        <w:t xml:space="preserve"> </w:t>
      </w:r>
      <w:r>
        <w:t xml:space="preserve">(Liu et al., 2013)</w:t>
      </w:r>
      <w:r>
        <w:t xml:space="preserve">. Compared to fat-based measures, BMI was also a weaker predictor of depressive symptoms (as well as other physical heath complications) in older adults</w:t>
      </w:r>
      <w:r>
        <w:t xml:space="preserve"> </w:t>
      </w:r>
      <w:r>
        <w:t xml:space="preserve">(Fulton et al., 2022; Hryhorczuk et al., 2013; Milaneschi et al., 2019; Weber-Hamann et al., 2006)</w:t>
      </w:r>
      <w:r>
        <w:t xml:space="preserve">.</w:t>
      </w:r>
    </w:p>
    <w:p>
      <w:pPr>
        <w:pStyle w:val="BodyText"/>
      </w:pPr>
      <w:r>
        <w:t xml:space="preserve">Based on this evidence, we recommend the use of fat or lean mass measures when assessing the relationship between adiposity and depressive symptoms, as relying on BMI only may lead the erroneous conclusion that increased adiposity is only an antecedent (rather than a consequence) of early-onset depressive symptoms.</w:t>
      </w:r>
    </w:p>
    <w:bookmarkEnd w:id="446"/>
    <w:bookmarkStart w:id="447" w:name="X6623d0e947d9f49d2e9f11d19b1ceec7cfc77ca"/>
    <w:p>
      <w:pPr>
        <w:pStyle w:val="Heading3"/>
      </w:pPr>
      <w:r>
        <w:t xml:space="preserve">Maternal- vs. self-reports of depressive symptoms</w:t>
      </w:r>
    </w:p>
    <w:p>
      <w:pPr>
        <w:pStyle w:val="FirstParagraph"/>
      </w:pPr>
      <w:r>
        <w:t xml:space="preserve">We found a generally similar pattern of relationships between depressive symptoms and adiposity, when using maternal reports of depressive symptoms (rather than self-reports). However, associations were weaker when using maternal reports and they were less consistent across time points. Previous studies have relied solely on maternal reports when investigating relationships with child adiposity, which may have further contributed to inconsistencies in the reported timing, direction, and magnitude of these associations.</w:t>
      </w:r>
    </w:p>
    <w:bookmarkEnd w:id="447"/>
    <w:bookmarkStart w:id="448" w:name="Xf092e1ff8517e5e92cddc9b9a276566b5b7a429"/>
    <w:p>
      <w:pPr>
        <w:pStyle w:val="Heading3"/>
      </w:pPr>
      <w:r>
        <w:t xml:space="preserve">The wheels of a</w:t>
      </w:r>
      <w:r>
        <w:t xml:space="preserve"> </w:t>
      </w:r>
      <w:r>
        <w:t xml:space="preserve">“vicious cycle”</w:t>
      </w:r>
      <w:r>
        <w:t xml:space="preserve">? reciprocal influences vs. stable differences</w:t>
      </w:r>
    </w:p>
    <w:p>
      <w:pPr>
        <w:pStyle w:val="FirstParagraph"/>
      </w:pPr>
      <w:r>
        <w:t xml:space="preserve">Several potential mechanisms could modulate and/or explain the bidirectional within-person dynamics highlighted in this study. For example, higher adiposity may affect psychological well-being, through reduced self-esteem, and increased feelings of shame, isolation, and body image dissatisfaction</w:t>
      </w:r>
      <w:r>
        <w:t xml:space="preserve"> </w:t>
      </w:r>
      <w:r>
        <w:t xml:space="preserve">(Sjöberg et al., 2005)</w:t>
      </w:r>
      <w:r>
        <w:t xml:space="preserve">, especially during adolescence. Adipose tissue is also an endocrine organ, involved in the production of oestrogen and pro-inflammatory cytokines, such as interleukin-6 (IL-6) and tumor necrosis factor-alpha (TNF-α)</w:t>
      </w:r>
      <w:r>
        <w:t xml:space="preserve"> </w:t>
      </w:r>
      <w:r>
        <w:t xml:space="preserve">(Kyrou et al., 2006)</w:t>
      </w:r>
      <w:r>
        <w:t xml:space="preserve">. These cytokines contribute to chronic low-grade systemic inflammation, which has been implicated in the development of common depressive symptoms such as anhedonia, fatigue, concentration problems and social withdrawal</w:t>
      </w:r>
      <w:r>
        <w:t xml:space="preserve"> </w:t>
      </w:r>
      <w:r>
        <w:t xml:space="preserve">(Slavich &amp; Irwin, 2014)</w:t>
      </w:r>
      <w:r>
        <w:t xml:space="preserve">. In turn, depressive symptoms may increase the risk for subsequent adiposity through increased sedentary behavior, reduced sleep quality</w:t>
      </w:r>
      <w:r>
        <w:t xml:space="preserve"> </w:t>
      </w:r>
      <w:r>
        <w:t xml:space="preserve">(Haarasilta et al., 2004)</w:t>
      </w:r>
      <w:r>
        <w:t xml:space="preserve">, and the adoption of poorer (e.g., pro-inflammatory) dietary patterns</w:t>
      </w:r>
      <w:r>
        <w:t xml:space="preserve"> </w:t>
      </w:r>
      <w:r>
        <w:t xml:space="preserve">(Lassale et al., 2019)</w:t>
      </w:r>
      <w:r>
        <w:t xml:space="preserve">.</w:t>
      </w:r>
    </w:p>
    <w:p>
      <w:pPr>
        <w:pStyle w:val="BodyText"/>
      </w:pPr>
      <w:r>
        <w:t xml:space="preserve">Interestingly, in addition to these within-person associations (which are directional and time-specific) we also found some stable between-person associations between depressive symptoms and adiposity. This is an indication that a consistent portion of the comorbidity burden can be better explained by</w:t>
      </w:r>
      <w:r>
        <w:t xml:space="preserve"> </w:t>
      </w:r>
      <w:r>
        <w:t xml:space="preserve">“shared risk factors”</w:t>
      </w:r>
      <w:r>
        <w:t xml:space="preserve"> </w:t>
      </w:r>
      <w:r>
        <w:t xml:space="preserve">that are largely time-invariant (e.g., sex, genetic liability, or residual confounders such as parenting practices), rather than by the reciprocal influence between constructs.</w:t>
      </w:r>
    </w:p>
    <w:bookmarkEnd w:id="448"/>
    <w:bookmarkStart w:id="449" w:name="Xde5c4d178ba02e80aee8657186bc5e8fe981d9d"/>
    <w:p>
      <w:pPr>
        <w:pStyle w:val="Heading3"/>
      </w:pPr>
      <w:r>
        <w:t xml:space="preserve">Depressive symptoms and chronic inflammation</w:t>
      </w:r>
    </w:p>
    <w:p>
      <w:pPr>
        <w:pStyle w:val="FirstParagraph"/>
      </w:pPr>
      <w:r>
        <w:t xml:space="preserve">The relationship between depressive symptoms and CRP, for instance, was better characterised in our dataset by a stable between-person association (i.e. people with higher depressive symptoms tend to also have higher CRP levels) rather than by a system of direct reciprocal influences (i.e. higher CRP leading to increased depressive symptoms at the next measurement occasion, or vice versa).</w:t>
      </w:r>
    </w:p>
    <w:bookmarkEnd w:id="449"/>
    <w:bookmarkStart w:id="450" w:name="depressive-symptoms-and-lipid-profiles"/>
    <w:p>
      <w:pPr>
        <w:pStyle w:val="Heading3"/>
      </w:pPr>
      <w:r>
        <w:t xml:space="preserve">Depressive symptoms and lipid profiles</w:t>
      </w:r>
    </w:p>
    <w:p>
      <w:pPr>
        <w:pStyle w:val="FirstParagraph"/>
      </w:pPr>
      <w:r>
        <w:t xml:space="preserve">With respect to lipid profiles, a similar relationship pattern emerged between depressive symptoms and insulin levels (i.e., no reciprocal effects but rather a stable between-person association). We also detected interesting differences in the between- vs. within-person relationships between depressive symptoms and HDL cholesterol. Indeed, while the between-person correlation between random intercepts was negative (i.e., higher depressive symptoms – lower HDL cholesterol), as expected based on previous research</w:t>
      </w:r>
      <w:r>
        <w:t xml:space="preserve"> </w:t>
      </w:r>
      <w:r>
        <w:t xml:space="preserve">(Penninx et al., 2013)</w:t>
      </w:r>
      <w:r>
        <w:t xml:space="preserve">, we found positive (reciprocal) within-person associations (i.e., higher depressive symptoms were prospectively related to higher HDL cholesterol and vice versa). While similar associations have been reported before</w:t>
      </w:r>
      <w:r>
        <w:t xml:space="preserve"> </w:t>
      </w:r>
      <w:r>
        <w:t xml:space="preserve">(Jia et al., 2020; Khalfan et al., 2023; Shin et al., 2008)</w:t>
      </w:r>
      <w:r>
        <w:t xml:space="preserve">, this finding was somewhat surprising, and it should be interpreted with caution. Similarly, associations between depressive symptoms and higher LDL cholesterol and triglycerides have been reported in the literature, but rather inconsistently, and mostly in older and / or clinical populations</w:t>
      </w:r>
      <w:r>
        <w:t xml:space="preserve"> </w:t>
      </w:r>
      <w:r>
        <w:t xml:space="preserve">(Ashwin et al., 2024; Khalfan et al., 2023; Shin et al., 2008)</w:t>
      </w:r>
      <w:r>
        <w:t xml:space="preserve">.</w:t>
      </w:r>
    </w:p>
    <w:p>
      <w:pPr>
        <w:pStyle w:val="BodyText"/>
      </w:pPr>
      <w:r>
        <w:t xml:space="preserve">While the biological pathways connecting depression and lipid profile abnormalities remain far from clear, it has been proposed that lower cholesterol may reduce serotonin receptor exposure, impairing mood regulation</w:t>
      </w:r>
      <w:r>
        <w:t xml:space="preserve"> </w:t>
      </w:r>
      <w:r>
        <w:t xml:space="preserve">(Ashwin et al., 2024)</w:t>
      </w:r>
      <w:r>
        <w:t xml:space="preserve">. Additionally, chronic stress and cortisol imbalances (i.e. HPA axis dysregulation) often reported in depressed individuals may alter lipid metabolism, contributing to both low and high lipid levels</w:t>
      </w:r>
      <w:r>
        <w:t xml:space="preserve"> </w:t>
      </w:r>
      <w:r>
        <w:t xml:space="preserve">(Ashwin et al., 2024)</w:t>
      </w:r>
      <w:r>
        <w:t xml:space="preserve">.</w:t>
      </w:r>
    </w:p>
    <w:bookmarkEnd w:id="450"/>
    <w:bookmarkStart w:id="451" w:name="X13f6884f7da762f585b484fdb892a9cfb2743dd"/>
    <w:p>
      <w:pPr>
        <w:pStyle w:val="Heading3"/>
      </w:pPr>
      <w:r>
        <w:t xml:space="preserve">Strengths, limitations and future directions</w:t>
      </w:r>
    </w:p>
    <w:p>
      <w:pPr>
        <w:pStyle w:val="FirstParagraph"/>
      </w:pPr>
      <w:r>
        <w:t xml:space="preserve">This is one of the very few studies capable of testing bidirectional (prospective) relationships between depressive symptoms and cardio-metabolic risk factors. To the best of our knowledge, it is the first to investigate them across such an extended developmental period. We highlighted associations with a host of cardio-metabolic risk factors (including weight- and fat-based measures of adiposity, lipid profiles and inflammatory markers), and multi-informant reports of depressive symptoms. We documented both between- and within-person relationships, which were not necessarily consistent with each other</w:t>
      </w:r>
      <w:r>
        <w:t xml:space="preserve"> </w:t>
      </w:r>
      <w:r>
        <w:t xml:space="preserve">(Berry &amp; Willoughby, 2017)</w:t>
      </w:r>
      <w:r>
        <w:t xml:space="preserve"> </w:t>
      </w:r>
      <w:r>
        <w:t xml:space="preserve">(as in the case of HDL cholesterol) and have separate implications for both mechanistic (i.e., causal) interpretations and clinical recommendations for prevention and/or intervention efforts. Finally, we provide an open-access web-application that allows researchers to explore and verify the robustness of our results.</w:t>
      </w:r>
    </w:p>
    <w:p>
      <w:pPr>
        <w:pStyle w:val="BodyText"/>
      </w:pPr>
      <w:r>
        <w:t xml:space="preserve">However, these findings should be interpreted in light of some important limitations.</w:t>
      </w:r>
    </w:p>
    <w:p>
      <w:pPr>
        <w:pStyle w:val="BodyText"/>
      </w:pPr>
      <w:r>
        <w:t xml:space="preserve">First, because the repeated measures leveraged by our models were collected every 1 to 6 years, these results are only informative about processes/dynamics that take place on this temporal scale. Higher temporal granularity, e.g., monthly assessments, may be needed to confirm, further refine or disprove these findings. For example, the smaller association between depressive symptoms and future adiposity, compared to that between adiposity and future depressive symptoms, could be due partly (or entirely) to inherent differences in the fluctuation of depressive mood vs. the persistence of adiposity over several years. Likewise, the lack of reciprocal prospective associations between depressive symptoms and the other markers of cardio-metabolic heath investigated here (including lipid profiles and systemic inflammation markers) could be explained by the transient nature of these measures. For example CRP is known to have a very short half-life (~19 hours), reflecting acute rather than chronic inflammatory processes</w:t>
      </w:r>
      <w:r>
        <w:t xml:space="preserve"> </w:t>
      </w:r>
      <w:r>
        <w:t xml:space="preserve">(Mouliou, 2023)</w:t>
      </w:r>
      <w:r>
        <w:t xml:space="preserve">.</w:t>
      </w:r>
    </w:p>
    <w:p>
      <w:pPr>
        <w:pStyle w:val="BodyText"/>
      </w:pPr>
      <w:r>
        <w:t xml:space="preserve">Second, while the inclusion of random intercepts can help reduce bias, e.g., by controlling for direct and indirect confounding effects from multiple sources</w:t>
      </w:r>
      <w:r>
        <w:t xml:space="preserve"> </w:t>
      </w:r>
      <w:r>
        <w:t xml:space="preserve">(Murayama &amp; Gfrörer, 2024)</w:t>
      </w:r>
      <w:r>
        <w:t xml:space="preserve">, we cannot completely eliminate such bias. For example, our models do not adequately handle either non-linear nor time-varying effects of time-invariant confounders, potentially failing to account for critical biological and environmental factors at play. For example, both depressive symptoms and adiposity have been linked with endocrine processes, which are particularly salient during puberty. Moreover, similar to most prior studies, the findings presented here are based on an ethnically homogeneous sample of</w:t>
      </w:r>
      <w:r>
        <w:t xml:space="preserve"> </w:t>
      </w:r>
      <w:r>
        <w:t xml:space="preserve">“White”</w:t>
      </w:r>
      <w:r>
        <w:t xml:space="preserve"> </w:t>
      </w:r>
      <w:r>
        <w:t xml:space="preserve">children from the UK, and may not be generalisable to other ethnic (or national) groups. Finally, depression is a very heterogeneous condition, characterized by distinct symptom clusters (e.g., vegetative symptoms such as fatigue and appetite changes, but also affective, cognitive, and somatic complaints). The current study (not unlike prior literature) relied on</w:t>
      </w:r>
      <w:r>
        <w:t xml:space="preserve"> </w:t>
      </w:r>
      <w:r>
        <w:t xml:space="preserve">“global”</w:t>
      </w:r>
      <w:r>
        <w:t xml:space="preserve">, aggregated measures of depression, which obscure symptom-level variations, potentially hindering the mechanistic understanding of the dynamics involved in the relationship between depression and cardio-metabolic health. Future studies are therefore warranted to clarify symptom-level dynamics and confirm whether these findings are truly independent of factors such as puberty, ethnicity, lifestyle and/or socio-economic status.</w:t>
      </w:r>
    </w:p>
    <w:bookmarkEnd w:id="451"/>
    <w:bookmarkStart w:id="452" w:name="conclusions-1"/>
    <w:p>
      <w:pPr>
        <w:pStyle w:val="Heading3"/>
      </w:pPr>
      <w:r>
        <w:t xml:space="preserve">Conclusions</w:t>
      </w:r>
    </w:p>
    <w:p>
      <w:pPr>
        <w:pStyle w:val="FirstParagraph"/>
      </w:pPr>
      <w:r>
        <w:t xml:space="preserve">In summary, this study addresses several important limitations of previous research, which taken together may have hindered our understanding of the relationship between depressive symptoms and cardio-metabolic risk factors over the course of development. Indeed, we show that when these constructs are measured more adequately (i.e., using self-reports of depressive symptoms and fat-based measures of adiposity), their relationship appears more reciprocal than previously thought. This is especially important in light of the increasing prevalence of both early-onset depressive symptoms and child obesity, as well as their substantial, enduring consequences for life-long health and well-being.</w:t>
      </w:r>
    </w:p>
    <w:bookmarkEnd w:id="452"/>
    <w:bookmarkEnd w:id="453"/>
    <w:bookmarkStart w:id="454" w:name="references-5"/>
    <w:p>
      <w:pPr>
        <w:pStyle w:val="Heading2"/>
      </w:pPr>
      <w:r>
        <w:t xml:space="preserve">References</w:t>
      </w:r>
    </w:p>
    <w:bookmarkEnd w:id="454"/>
    <w:bookmarkStart w:id="542" w:name="bibliography--6"/>
    <w:p>
      <w:pPr>
        <w:pStyle w:val="Heading2"/>
      </w:pPr>
      <w:r>
        <w:t xml:space="preserve">References</w:t>
      </w:r>
    </w:p>
    <w:bookmarkStart w:id="541" w:name="refs--6"/>
    <w:bookmarkStart w:id="455" w:name="ref-Angold1995"/>
    <w:p>
      <w:pPr>
        <w:pStyle w:val="FirstParagraph"/>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455"/>
    <w:bookmarkStart w:id="456"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456"/>
    <w:bookmarkStart w:id="457" w:name="ref-Ashwin2024"/>
    <w:p>
      <w:pPr>
        <w:pStyle w:val="BodyText"/>
      </w:pPr>
      <w:r>
        <w:t xml:space="preserve">Ashwin, J., Shahi, M. K., &amp; Singh, A. (2024). Serum lipid level as a biomarker in depressive disorder: A cross-sectional case control study.</w:t>
      </w:r>
      <w:r>
        <w:t xml:space="preserve"> </w:t>
      </w:r>
      <w:r>
        <w:rPr>
          <w:i/>
          <w:iCs/>
        </w:rPr>
        <w:t xml:space="preserve">Archives of Biological Psychiatry</w:t>
      </w:r>
      <w:r>
        <w:t xml:space="preserve">,</w:t>
      </w:r>
      <w:r>
        <w:t xml:space="preserve"> </w:t>
      </w:r>
      <w:r>
        <w:rPr>
          <w:i/>
          <w:iCs/>
        </w:rPr>
        <w:t xml:space="preserve">2</w:t>
      </w:r>
      <w:r>
        <w:t xml:space="preserve">, 30–36.</w:t>
      </w:r>
    </w:p>
    <w:bookmarkEnd w:id="457"/>
    <w:bookmarkStart w:id="459" w:name="ref-Berry2017"/>
    <w:p>
      <w:pPr>
        <w:pStyle w:val="BodyText"/>
      </w:pPr>
      <w:r>
        <w:t xml:space="preserve">Berry, D., &amp; Willoughby, M. T. (2017). On the practical interpretability of cross-lagged panel models: Rethinking a developmental workhorse [Journal Article].</w:t>
      </w:r>
      <w:r>
        <w:t xml:space="preserve"> </w:t>
      </w:r>
      <w:r>
        <w:rPr>
          <w:i/>
          <w:iCs/>
        </w:rPr>
        <w:t xml:space="preserve">Child Dev</w:t>
      </w:r>
      <w:r>
        <w:t xml:space="preserve">,</w:t>
      </w:r>
      <w:r>
        <w:t xml:space="preserve"> </w:t>
      </w:r>
      <w:r>
        <w:rPr>
          <w:i/>
          <w:iCs/>
        </w:rPr>
        <w:t xml:space="preserve">88</w:t>
      </w:r>
      <w:r>
        <w:t xml:space="preserve">(4), 1186–1206.</w:t>
      </w:r>
      <w:r>
        <w:t xml:space="preserve"> </w:t>
      </w:r>
      <w:hyperlink r:id="rId458">
        <w:r>
          <w:rPr>
            <w:rStyle w:val="Hyperlink"/>
          </w:rPr>
          <w:t xml:space="preserve">https://doi.org/10.1111/cdev.12660</w:t>
        </w:r>
      </w:hyperlink>
    </w:p>
    <w:bookmarkEnd w:id="459"/>
    <w:bookmarkStart w:id="460"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460"/>
    <w:bookmarkStart w:id="461"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461"/>
    <w:bookmarkStart w:id="463" w:name="ref-Bradley2008"/>
    <w:p>
      <w:pPr>
        <w:pStyle w:val="BodyText"/>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62">
        <w:r>
          <w:rPr>
            <w:rStyle w:val="Hyperlink"/>
          </w:rPr>
          <w:t xml:space="preserve">https://doi.org/10.1016/j.jpeds.2008.05.026</w:t>
        </w:r>
      </w:hyperlink>
    </w:p>
    <w:bookmarkEnd w:id="463"/>
    <w:bookmarkStart w:id="465" w:name="ref-Carey2014"/>
    <w:p>
      <w:pPr>
        <w:pStyle w:val="BodyText"/>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64">
        <w:r>
          <w:rPr>
            <w:rStyle w:val="Hyperlink"/>
          </w:rPr>
          <w:t xml:space="preserve">https://doi.org/10.3399/bjgp14X677482</w:t>
        </w:r>
      </w:hyperlink>
    </w:p>
    <w:bookmarkEnd w:id="465"/>
    <w:bookmarkStart w:id="467" w:name="ref-Chen2023"/>
    <w:p>
      <w:pPr>
        <w:pStyle w:val="BodyText"/>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66">
        <w:r>
          <w:rPr>
            <w:rStyle w:val="Hyperlink"/>
          </w:rPr>
          <w:t xml:space="preserve">https://doi.org/10.1016/j.jad.2023.07.044</w:t>
        </w:r>
      </w:hyperlink>
    </w:p>
    <w:bookmarkEnd w:id="467"/>
    <w:bookmarkStart w:id="469" w:name="ref-Cohen2019"/>
    <w:p>
      <w:pPr>
        <w:pStyle w:val="BodyText"/>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68">
        <w:r>
          <w:rPr>
            <w:rStyle w:val="Hyperlink"/>
          </w:rPr>
          <w:t xml:space="preserve">https://doi.org/10.1007/s10578-019-00869-6</w:t>
        </w:r>
      </w:hyperlink>
    </w:p>
    <w:bookmarkEnd w:id="469"/>
    <w:bookmarkStart w:id="471" w:name="ref-Curran2014"/>
    <w:p>
      <w:pPr>
        <w:pStyle w:val="BodyText"/>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70">
        <w:r>
          <w:rPr>
            <w:rStyle w:val="Hyperlink"/>
          </w:rPr>
          <w:t xml:space="preserve">https://doi.org/10.1037/a0035297</w:t>
        </w:r>
      </w:hyperlink>
    </w:p>
    <w:bookmarkEnd w:id="471"/>
    <w:bookmarkStart w:id="473" w:name="ref-Dangardt2019"/>
    <w:p>
      <w:pPr>
        <w:pStyle w:val="BodyText"/>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72">
        <w:r>
          <w:rPr>
            <w:rStyle w:val="Hyperlink"/>
          </w:rPr>
          <w:t xml:space="preserve">https://doi.org/10.1016/S2352-4642(19)30105-1</w:t>
        </w:r>
      </w:hyperlink>
    </w:p>
    <w:bookmarkEnd w:id="473"/>
    <w:bookmarkStart w:id="474"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474"/>
    <w:bookmarkStart w:id="476" w:name="ref-Dencker2007"/>
    <w:p>
      <w:pPr>
        <w:pStyle w:val="BodyText"/>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75">
        <w:r>
          <w:rPr>
            <w:rStyle w:val="Hyperlink"/>
          </w:rPr>
          <w:t xml:space="preserve">https://doi.org/10.1111/j.1475-097X.2007.00709.x</w:t>
        </w:r>
      </w:hyperlink>
    </w:p>
    <w:bookmarkEnd w:id="476"/>
    <w:bookmarkStart w:id="478" w:name="ref-Forman-Hoffman2007"/>
    <w:p>
      <w:pPr>
        <w:pStyle w:val="BodyText"/>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77">
        <w:r>
          <w:rPr>
            <w:rStyle w:val="Hyperlink"/>
          </w:rPr>
          <w:t xml:space="preserve">https://doi.org/10.1093/geronb/62.1.s43</w:t>
        </w:r>
      </w:hyperlink>
    </w:p>
    <w:bookmarkEnd w:id="478"/>
    <w:bookmarkStart w:id="47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479"/>
    <w:bookmarkStart w:id="481" w:name="ref-Fulton2022"/>
    <w:p>
      <w:pPr>
        <w:pStyle w:val="BodyText"/>
      </w:pPr>
      <w:r>
        <w:t xml:space="preserve">Fulton, S., Décarie-Spain, L., Fioramonti, X., Guiard, B., &amp; Nakajima, S. (2022). The menace of obesity to depression and anxiety prevalence [Journal Article].</w:t>
      </w:r>
      <w:r>
        <w:t xml:space="preserve"> </w:t>
      </w:r>
      <w:r>
        <w:rPr>
          <w:i/>
          <w:iCs/>
        </w:rPr>
        <w:t xml:space="preserve">Trends Endocrinol Metab</w:t>
      </w:r>
      <w:r>
        <w:t xml:space="preserve">,</w:t>
      </w:r>
      <w:r>
        <w:t xml:space="preserve"> </w:t>
      </w:r>
      <w:r>
        <w:rPr>
          <w:i/>
          <w:iCs/>
        </w:rPr>
        <w:t xml:space="preserve">33</w:t>
      </w:r>
      <w:r>
        <w:t xml:space="preserve">(1), 18–35.</w:t>
      </w:r>
      <w:r>
        <w:t xml:space="preserve"> </w:t>
      </w:r>
      <w:hyperlink r:id="rId480">
        <w:r>
          <w:rPr>
            <w:rStyle w:val="Hyperlink"/>
          </w:rPr>
          <w:t xml:space="preserve">https://doi.org/10.1016/j.tem.2021.10.005</w:t>
        </w:r>
      </w:hyperlink>
    </w:p>
    <w:bookmarkEnd w:id="481"/>
    <w:bookmarkStart w:id="482"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82"/>
    <w:bookmarkStart w:id="484" w:name="ref-Haarasilta2004"/>
    <w:p>
      <w:pPr>
        <w:pStyle w:val="BodyText"/>
      </w:pPr>
      <w:r>
        <w:t xml:space="preserve">Haarasilta, L. M., Marttunen, M. J., Kaprio, J. A., &amp; Aro, H. M. (2004). Correlates of depression in a representative nationwide sample of adolescents (15–19 years) and young adults (20–24 years) [Journal Article].</w:t>
      </w:r>
      <w:r>
        <w:t xml:space="preserve"> </w:t>
      </w:r>
      <w:r>
        <w:rPr>
          <w:i/>
          <w:iCs/>
        </w:rPr>
        <w:t xml:space="preserve">European Journal of Public Health</w:t>
      </w:r>
      <w:r>
        <w:t xml:space="preserve">,</w:t>
      </w:r>
      <w:r>
        <w:t xml:space="preserve"> </w:t>
      </w:r>
      <w:r>
        <w:rPr>
          <w:i/>
          <w:iCs/>
        </w:rPr>
        <w:t xml:space="preserve">14</w:t>
      </w:r>
      <w:r>
        <w:t xml:space="preserve">(3), 280–285.</w:t>
      </w:r>
      <w:r>
        <w:t xml:space="preserve"> </w:t>
      </w:r>
      <w:hyperlink r:id="rId483">
        <w:r>
          <w:rPr>
            <w:rStyle w:val="Hyperlink"/>
          </w:rPr>
          <w:t xml:space="preserve">https://doi.org/10.1093/eurpub/14.3.280</w:t>
        </w:r>
      </w:hyperlink>
    </w:p>
    <w:bookmarkEnd w:id="484"/>
    <w:bookmarkStart w:id="486" w:name="ref-Hamaker2015"/>
    <w:p>
      <w:pPr>
        <w:pStyle w:val="BodyText"/>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85">
        <w:r>
          <w:rPr>
            <w:rStyle w:val="Hyperlink"/>
          </w:rPr>
          <w:t xml:space="preserve">https://doi.org/10.1037/a0038889</w:t>
        </w:r>
      </w:hyperlink>
    </w:p>
    <w:bookmarkEnd w:id="486"/>
    <w:bookmarkStart w:id="488" w:name="ref-Harris2009"/>
    <w:p>
      <w:pPr>
        <w:pStyle w:val="BodyText"/>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87">
        <w:r>
          <w:rPr>
            <w:rStyle w:val="Hyperlink"/>
          </w:rPr>
          <w:t xml:space="preserve">https://doi.org/10.1016/j.jbi.2008.08.010</w:t>
        </w:r>
      </w:hyperlink>
    </w:p>
    <w:bookmarkEnd w:id="488"/>
    <w:bookmarkStart w:id="490" w:name="ref-Hryhorczuk2013"/>
    <w:p>
      <w:pPr>
        <w:pStyle w:val="BodyText"/>
      </w:pPr>
      <w:r>
        <w:t xml:space="preserve">Hryhorczuk, C., Sharma, S., &amp; Fulton, S. E. (2013). Metabolic disturbances connecting obesity and depression [Journal Article].</w:t>
      </w:r>
      <w:r>
        <w:t xml:space="preserve"> </w:t>
      </w:r>
      <w:r>
        <w:rPr>
          <w:i/>
          <w:iCs/>
        </w:rPr>
        <w:t xml:space="preserve">Frontiers in Neuroscience</w:t>
      </w:r>
      <w:r>
        <w:t xml:space="preserve">,</w:t>
      </w:r>
      <w:r>
        <w:t xml:space="preserve"> </w:t>
      </w:r>
      <w:r>
        <w:rPr>
          <w:i/>
          <w:iCs/>
        </w:rPr>
        <w:t xml:space="preserve">7</w:t>
      </w:r>
      <w:r>
        <w:t xml:space="preserve">.</w:t>
      </w:r>
      <w:r>
        <w:t xml:space="preserve"> </w:t>
      </w:r>
      <w:hyperlink r:id="rId489">
        <w:r>
          <w:rPr>
            <w:rStyle w:val="Hyperlink"/>
          </w:rPr>
          <w:t xml:space="preserve">https://doi.org/10.3389/fnins.2013.00177</w:t>
        </w:r>
      </w:hyperlink>
    </w:p>
    <w:bookmarkEnd w:id="490"/>
    <w:bookmarkStart w:id="492" w:name="ref-Jansen2013"/>
    <w:p>
      <w:pPr>
        <w:pStyle w:val="BodyText"/>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91">
        <w:r>
          <w:rPr>
            <w:rStyle w:val="Hyperlink"/>
          </w:rPr>
          <w:t xml:space="preserve">https://doi.org/10.1016/j.acap.2012.12.001</w:t>
        </w:r>
      </w:hyperlink>
    </w:p>
    <w:bookmarkEnd w:id="492"/>
    <w:bookmarkStart w:id="494" w:name="ref-Jia2020"/>
    <w:p>
      <w:pPr>
        <w:pStyle w:val="BodyText"/>
      </w:pPr>
      <w:r>
        <w:t xml:space="preserve">Jia, Q. F., Yang, H. X., Zhuang, N. N., Yin, X. Y., Zhu, Z. H., Yuan, Y., Yin, X. L., Wang, Y., Cheung, E. F. C., Chan, R. C. K., &amp; Hui, L. (2020). The role of lipoprotein profile in depression and cognitive performance: A network analysis [Journal Article].</w:t>
      </w:r>
      <w:r>
        <w:t xml:space="preserve"> </w:t>
      </w:r>
      <w:r>
        <w:rPr>
          <w:i/>
          <w:iCs/>
        </w:rPr>
        <w:t xml:space="preserve">Sci Rep</w:t>
      </w:r>
      <w:r>
        <w:t xml:space="preserve">,</w:t>
      </w:r>
      <w:r>
        <w:t xml:space="preserve"> </w:t>
      </w:r>
      <w:r>
        <w:rPr>
          <w:i/>
          <w:iCs/>
        </w:rPr>
        <w:t xml:space="preserve">10</w:t>
      </w:r>
      <w:r>
        <w:t xml:space="preserve">(1), 20704.</w:t>
      </w:r>
      <w:r>
        <w:t xml:space="preserve"> </w:t>
      </w:r>
      <w:hyperlink r:id="rId493">
        <w:r>
          <w:rPr>
            <w:rStyle w:val="Hyperlink"/>
          </w:rPr>
          <w:t xml:space="preserve">https://doi.org/10.1038/s41598-020-77782-9</w:t>
        </w:r>
      </w:hyperlink>
    </w:p>
    <w:bookmarkEnd w:id="494"/>
    <w:bookmarkStart w:id="496" w:name="ref-Jokela2023"/>
    <w:p>
      <w:pPr>
        <w:pStyle w:val="BodyText"/>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95">
        <w:r>
          <w:rPr>
            <w:rStyle w:val="Hyperlink"/>
          </w:rPr>
          <w:t xml:space="preserve">https://doi.org/10.1016/j.jpsychires.2023.05.034</w:t>
        </w:r>
      </w:hyperlink>
    </w:p>
    <w:bookmarkEnd w:id="496"/>
    <w:bookmarkStart w:id="497"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97"/>
    <w:bookmarkStart w:id="499" w:name="ref-Khalfan2023"/>
    <w:p>
      <w:pPr>
        <w:pStyle w:val="BodyText"/>
      </w:pPr>
      <w:r>
        <w:t xml:space="preserve">Khalfan, A. F., Campisi, S. C., Lo, R. F., McCrindle, B. W., &amp; Korczak, D. J. (2023). The association between adolescent depression and dyslipidemia.</w:t>
      </w:r>
      <w:r>
        <w:t xml:space="preserve"> </w:t>
      </w:r>
      <w:r>
        <w:rPr>
          <w:i/>
          <w:iCs/>
        </w:rPr>
        <w:t xml:space="preserve">Journal of Affective Disorders</w:t>
      </w:r>
      <w:r>
        <w:t xml:space="preserve">,</w:t>
      </w:r>
      <w:r>
        <w:t xml:space="preserve"> </w:t>
      </w:r>
      <w:r>
        <w:rPr>
          <w:i/>
          <w:iCs/>
        </w:rPr>
        <w:t xml:space="preserve">338</w:t>
      </w:r>
      <w:r>
        <w:t xml:space="preserve">, 239–245.</w:t>
      </w:r>
      <w:r>
        <w:t xml:space="preserve"> </w:t>
      </w:r>
      <w:hyperlink r:id="rId498">
        <w:r>
          <w:rPr>
            <w:rStyle w:val="Hyperlink"/>
          </w:rPr>
          <w:t xml:space="preserve">https://doi.org/10.1016/j.jad.2023.06.017</w:t>
        </w:r>
      </w:hyperlink>
    </w:p>
    <w:bookmarkEnd w:id="499"/>
    <w:bookmarkStart w:id="500" w:name="ref-Kline2016"/>
    <w:p>
      <w:pPr>
        <w:pStyle w:val="BodyText"/>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500"/>
    <w:bookmarkStart w:id="502" w:name="ref-Konttinen2014"/>
    <w:p>
      <w:pPr>
        <w:pStyle w:val="BodyText"/>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501">
        <w:r>
          <w:rPr>
            <w:rStyle w:val="Hyperlink"/>
          </w:rPr>
          <w:t xml:space="preserve">https://doi.org/10.1038/ijo.2013.151</w:t>
        </w:r>
      </w:hyperlink>
    </w:p>
    <w:bookmarkEnd w:id="502"/>
    <w:bookmarkStart w:id="504" w:name="ref-Kwong2019"/>
    <w:p>
      <w:pPr>
        <w:pStyle w:val="BodyText"/>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503">
        <w:r>
          <w:rPr>
            <w:rStyle w:val="Hyperlink"/>
          </w:rPr>
          <w:t xml:space="preserve">https://doi.org/10.12688/wellcomeopenres.15395.2</w:t>
        </w:r>
      </w:hyperlink>
    </w:p>
    <w:bookmarkEnd w:id="504"/>
    <w:bookmarkStart w:id="506" w:name="ref-Kyrou2006"/>
    <w:p>
      <w:pPr>
        <w:pStyle w:val="BodyText"/>
      </w:pPr>
      <w:r>
        <w:t xml:space="preserve">Kyrou, I., Chrousos, G. P., &amp; Tsigos, C. (2006). Stress, visceral obesity, and metabolic complications [Journal Article].</w:t>
      </w:r>
      <w:r>
        <w:t xml:space="preserve"> </w:t>
      </w:r>
      <w:r>
        <w:rPr>
          <w:i/>
          <w:iCs/>
        </w:rPr>
        <w:t xml:space="preserve">Ann N Y Acad Sci</w:t>
      </w:r>
      <w:r>
        <w:t xml:space="preserve">,</w:t>
      </w:r>
      <w:r>
        <w:t xml:space="preserve"> </w:t>
      </w:r>
      <w:r>
        <w:rPr>
          <w:i/>
          <w:iCs/>
        </w:rPr>
        <w:t xml:space="preserve">1083</w:t>
      </w:r>
      <w:r>
        <w:t xml:space="preserve">, 77–110.</w:t>
      </w:r>
      <w:r>
        <w:t xml:space="preserve"> </w:t>
      </w:r>
      <w:hyperlink r:id="rId505">
        <w:r>
          <w:rPr>
            <w:rStyle w:val="Hyperlink"/>
          </w:rPr>
          <w:t xml:space="preserve">https://doi.org/10.1196/annals.1367.008</w:t>
        </w:r>
      </w:hyperlink>
    </w:p>
    <w:bookmarkEnd w:id="506"/>
    <w:bookmarkStart w:id="507"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507"/>
    <w:bookmarkStart w:id="509" w:name="ref-Liu2013"/>
    <w:p>
      <w:pPr>
        <w:pStyle w:val="BodyText"/>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508">
        <w:r>
          <w:rPr>
            <w:rStyle w:val="Hyperlink"/>
          </w:rPr>
          <w:t xml:space="preserve">https://doi.org/10.1186/1471-2458-13-629</w:t>
        </w:r>
      </w:hyperlink>
    </w:p>
    <w:bookmarkEnd w:id="509"/>
    <w:bookmarkStart w:id="510"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510"/>
    <w:bookmarkStart w:id="511"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511"/>
    <w:bookmarkStart w:id="513" w:name="ref-Mouliou2023"/>
    <w:p>
      <w:pPr>
        <w:pStyle w:val="BodyText"/>
      </w:pPr>
      <w:r>
        <w:t xml:space="preserve">Mouliou, D. S. (2023). C-reactive protein: Pathophysiology, diagnosis, false test results and a novel diagnostic algorithm for clinicians [Journal Article].</w:t>
      </w:r>
      <w:r>
        <w:t xml:space="preserve"> </w:t>
      </w:r>
      <w:r>
        <w:rPr>
          <w:i/>
          <w:iCs/>
        </w:rPr>
        <w:t xml:space="preserve">Diseases</w:t>
      </w:r>
      <w:r>
        <w:t xml:space="preserve">,</w:t>
      </w:r>
      <w:r>
        <w:t xml:space="preserve"> </w:t>
      </w:r>
      <w:r>
        <w:rPr>
          <w:i/>
          <w:iCs/>
        </w:rPr>
        <w:t xml:space="preserve">11</w:t>
      </w:r>
      <w:r>
        <w:t xml:space="preserve">(4).</w:t>
      </w:r>
      <w:r>
        <w:t xml:space="preserve"> </w:t>
      </w:r>
      <w:hyperlink r:id="rId512">
        <w:r>
          <w:rPr>
            <w:rStyle w:val="Hyperlink"/>
          </w:rPr>
          <w:t xml:space="preserve">https://doi.org/10.3390/diseases11040132</w:t>
        </w:r>
      </w:hyperlink>
    </w:p>
    <w:bookmarkEnd w:id="513"/>
    <w:bookmarkStart w:id="515" w:name="ref-Murayama2024"/>
    <w:p>
      <w:pPr>
        <w:pStyle w:val="BodyText"/>
      </w:pPr>
      <w:r>
        <w:t xml:space="preserve">Murayama, K., &amp; Gfrörer, T. (2024). Thinking clearly about time-invariant confounders in cross-lagged panel models: A guide for choosing a statistical model from a causal inference perspective.</w:t>
      </w:r>
      <w:r>
        <w:t xml:space="preserve"> </w:t>
      </w:r>
      <w:r>
        <w:rPr>
          <w:i/>
          <w:iCs/>
        </w:rPr>
        <w:t xml:space="preserve">Psychological Methods</w:t>
      </w:r>
      <w:r>
        <w:t xml:space="preserve">.</w:t>
      </w:r>
      <w:r>
        <w:t xml:space="preserve"> </w:t>
      </w:r>
      <w:hyperlink r:id="rId514">
        <w:r>
          <w:rPr>
            <w:rStyle w:val="Hyperlink"/>
          </w:rPr>
          <w:t xml:space="preserve">https://doi.org/110.1037/met0000647</w:t>
        </w:r>
      </w:hyperlink>
    </w:p>
    <w:bookmarkEnd w:id="515"/>
    <w:bookmarkStart w:id="516"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516"/>
    <w:bookmarkStart w:id="518" w:name="ref-Northstone2019"/>
    <w:p>
      <w:pPr>
        <w:pStyle w:val="BodyText"/>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517">
        <w:r>
          <w:rPr>
            <w:rStyle w:val="Hyperlink"/>
          </w:rPr>
          <w:t xml:space="preserve">https://doi.org/10.12688/wellcomeopenres.15132.1</w:t>
        </w:r>
      </w:hyperlink>
    </w:p>
    <w:bookmarkEnd w:id="518"/>
    <w:bookmarkStart w:id="519" w:name="ref-Patalay2019a"/>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519"/>
    <w:bookmarkStart w:id="521" w:name="ref-Patalay2019b"/>
    <w:p>
      <w:pPr>
        <w:pStyle w:val="BodyText"/>
      </w:pPr>
      <w:r>
        <w:t xml:space="preserve">Patalay, P., &amp; Hardman, C. A. (2019). Comorbidity, codevelopment, and temporal associations between body mass index and internalizing symptoms from early childhood to adolescence [Journal Article].</w:t>
      </w:r>
      <w:r>
        <w:t xml:space="preserve"> </w:t>
      </w:r>
      <w:r>
        <w:rPr>
          <w:i/>
          <w:iCs/>
        </w:rPr>
        <w:t xml:space="preserve">JAMA Psychiatry</w:t>
      </w:r>
      <w:r>
        <w:t xml:space="preserve">,</w:t>
      </w:r>
      <w:r>
        <w:t xml:space="preserve"> </w:t>
      </w:r>
      <w:r>
        <w:rPr>
          <w:i/>
          <w:iCs/>
        </w:rPr>
        <w:t xml:space="preserve">76</w:t>
      </w:r>
      <w:r>
        <w:t xml:space="preserve">(7), 721–729.</w:t>
      </w:r>
      <w:r>
        <w:t xml:space="preserve"> </w:t>
      </w:r>
      <w:hyperlink r:id="rId520">
        <w:r>
          <w:rPr>
            <w:rStyle w:val="Hyperlink"/>
          </w:rPr>
          <w:t xml:space="preserve">https://doi.org/10.1001/jamapsychiatry.2019.0169</w:t>
        </w:r>
      </w:hyperlink>
    </w:p>
    <w:bookmarkEnd w:id="521"/>
    <w:bookmarkStart w:id="523" w:name="ref-Penninx2013"/>
    <w:p>
      <w:pPr>
        <w:pStyle w:val="BodyText"/>
      </w:pPr>
      <w:r>
        <w:t xml:space="preserve">Penninx, B. W. J. H., Milaneschi, Y., Lamers, F., &amp; Vogelzangs, N. (2013). Understanding the somatic consequences of depression: Biological mechanisms and the role of depression symptom profile [Journal Article].</w:t>
      </w:r>
      <w:r>
        <w:t xml:space="preserve"> </w:t>
      </w:r>
      <w:r>
        <w:rPr>
          <w:i/>
          <w:iCs/>
        </w:rPr>
        <w:t xml:space="preserve">BMC Medicine</w:t>
      </w:r>
      <w:r>
        <w:t xml:space="preserve">,</w:t>
      </w:r>
      <w:r>
        <w:t xml:space="preserve"> </w:t>
      </w:r>
      <w:r>
        <w:rPr>
          <w:i/>
          <w:iCs/>
        </w:rPr>
        <w:t xml:space="preserve">11</w:t>
      </w:r>
      <w:r>
        <w:t xml:space="preserve">(1), 129.</w:t>
      </w:r>
      <w:r>
        <w:t xml:space="preserve"> </w:t>
      </w:r>
      <w:hyperlink r:id="rId522">
        <w:r>
          <w:rPr>
            <w:rStyle w:val="Hyperlink"/>
          </w:rPr>
          <w:t xml:space="preserve">https://doi.org/10.1186/1741-7015-11-129</w:t>
        </w:r>
      </w:hyperlink>
    </w:p>
    <w:bookmarkEnd w:id="523"/>
    <w:bookmarkStart w:id="52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524"/>
    <w:bookmarkStart w:id="526" w:name="ref-Rosseel2012"/>
    <w:p>
      <w:pPr>
        <w:pStyle w:val="BodyText"/>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525">
        <w:r>
          <w:rPr>
            <w:rStyle w:val="Hyperlink"/>
          </w:rPr>
          <w:t xml:space="preserve">https://doi.org/10.18637/jss.v048.i02</w:t>
        </w:r>
      </w:hyperlink>
    </w:p>
    <w:bookmarkEnd w:id="526"/>
    <w:bookmarkStart w:id="528" w:name="ref-Shin2008"/>
    <w:p>
      <w:pPr>
        <w:pStyle w:val="BodyText"/>
      </w:pPr>
      <w:r>
        <w:t xml:space="preserve">Shin, J. Y., Suls, J., &amp; Martin, R. (2008). Are cholesterol and depression inversely related? A meta-analysis of the association between two cardiac risk factors [Journal Article].</w:t>
      </w:r>
      <w:r>
        <w:t xml:space="preserve"> </w:t>
      </w:r>
      <w:r>
        <w:rPr>
          <w:i/>
          <w:iCs/>
        </w:rPr>
        <w:t xml:space="preserve">Ann Behav Med</w:t>
      </w:r>
      <w:r>
        <w:t xml:space="preserve">,</w:t>
      </w:r>
      <w:r>
        <w:t xml:space="preserve"> </w:t>
      </w:r>
      <w:r>
        <w:rPr>
          <w:i/>
          <w:iCs/>
        </w:rPr>
        <w:t xml:space="preserve">36</w:t>
      </w:r>
      <w:r>
        <w:t xml:space="preserve">(1), 33–43.</w:t>
      </w:r>
      <w:r>
        <w:t xml:space="preserve"> </w:t>
      </w:r>
      <w:hyperlink r:id="rId527">
        <w:r>
          <w:rPr>
            <w:rStyle w:val="Hyperlink"/>
          </w:rPr>
          <w:t xml:space="preserve">https://doi.org/10.1007/s12160-008-9045-8</w:t>
        </w:r>
      </w:hyperlink>
    </w:p>
    <w:bookmarkEnd w:id="528"/>
    <w:bookmarkStart w:id="530" w:name="ref-Sjöberg2005"/>
    <w:p>
      <w:pPr>
        <w:pStyle w:val="BodyText"/>
      </w:pPr>
      <w:r>
        <w:t xml:space="preserve">Sjöberg, R. L., Nilsson, K. W., &amp; Leppert, J. (2005). Obesity, shame, and depression in school-aged children: A population-based study [Journal Article].</w:t>
      </w:r>
      <w:r>
        <w:t xml:space="preserve"> </w:t>
      </w:r>
      <w:r>
        <w:rPr>
          <w:i/>
          <w:iCs/>
        </w:rPr>
        <w:t xml:space="preserve">Pediatrics</w:t>
      </w:r>
      <w:r>
        <w:t xml:space="preserve">,</w:t>
      </w:r>
      <w:r>
        <w:t xml:space="preserve"> </w:t>
      </w:r>
      <w:r>
        <w:rPr>
          <w:i/>
          <w:iCs/>
        </w:rPr>
        <w:t xml:space="preserve">116</w:t>
      </w:r>
      <w:r>
        <w:t xml:space="preserve">(3), e389–e392.</w:t>
      </w:r>
      <w:r>
        <w:t xml:space="preserve"> </w:t>
      </w:r>
      <w:hyperlink r:id="rId529">
        <w:r>
          <w:rPr>
            <w:rStyle w:val="Hyperlink"/>
          </w:rPr>
          <w:t xml:space="preserve">https://doi.org/10.1542/peds.2005-0170</w:t>
        </w:r>
      </w:hyperlink>
    </w:p>
    <w:bookmarkEnd w:id="530"/>
    <w:bookmarkStart w:id="532" w:name="ref-Slavich2014"/>
    <w:p>
      <w:pPr>
        <w:pStyle w:val="BodyText"/>
      </w:pPr>
      <w:r>
        <w:t xml:space="preserve">Slavich, G. M., &amp; Irwin, M. R. (2014). From stress to inflammation and major depressive disorder: A social signal transduction theory of depression [Journal Article].</w:t>
      </w:r>
      <w:r>
        <w:t xml:space="preserve"> </w:t>
      </w:r>
      <w:r>
        <w:rPr>
          <w:i/>
          <w:iCs/>
        </w:rPr>
        <w:t xml:space="preserve">Psychological Bulletin</w:t>
      </w:r>
      <w:r>
        <w:t xml:space="preserve">,</w:t>
      </w:r>
      <w:r>
        <w:t xml:space="preserve"> </w:t>
      </w:r>
      <w:r>
        <w:rPr>
          <w:i/>
          <w:iCs/>
        </w:rPr>
        <w:t xml:space="preserve">140</w:t>
      </w:r>
      <w:r>
        <w:t xml:space="preserve">(3), 774–815.</w:t>
      </w:r>
      <w:r>
        <w:t xml:space="preserve"> </w:t>
      </w:r>
      <w:hyperlink r:id="rId531">
        <w:r>
          <w:rPr>
            <w:rStyle w:val="Hyperlink"/>
          </w:rPr>
          <w:t xml:space="preserve">https://doi.org/10.1037/a0035302</w:t>
        </w:r>
      </w:hyperlink>
    </w:p>
    <w:bookmarkEnd w:id="532"/>
    <w:bookmarkStart w:id="533"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533"/>
    <w:bookmarkStart w:id="535" w:name="ref-Vanderwall2017"/>
    <w:p>
      <w:pPr>
        <w:pStyle w:val="BodyText"/>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534">
        <w:r>
          <w:rPr>
            <w:rStyle w:val="Hyperlink"/>
          </w:rPr>
          <w:t xml:space="preserve">https://doi.org/10.1186/s12887-017-0891-z</w:t>
        </w:r>
      </w:hyperlink>
    </w:p>
    <w:bookmarkEnd w:id="535"/>
    <w:bookmarkStart w:id="537" w:name="ref-Weber-Hamann2006"/>
    <w:p>
      <w:pPr>
        <w:pStyle w:val="BodyText"/>
      </w:pPr>
      <w:r>
        <w:t xml:space="preserve">Weber-Hamann, B., Werner, M., Hentschel, F., Bindeballe, N., Lederbogen, F., Deuschle, M., &amp; Heuser, I. (2006). Metabolic changes in elderly patients with major depression: Evidence for increased accumulation of visceral fat at follow-up [Journal Article].</w:t>
      </w:r>
      <w:r>
        <w:t xml:space="preserve"> </w:t>
      </w:r>
      <w:r>
        <w:rPr>
          <w:i/>
          <w:iCs/>
        </w:rPr>
        <w:t xml:space="preserve">Psychoneuroendocrinology</w:t>
      </w:r>
      <w:r>
        <w:t xml:space="preserve">,</w:t>
      </w:r>
      <w:r>
        <w:t xml:space="preserve"> </w:t>
      </w:r>
      <w:r>
        <w:rPr>
          <w:i/>
          <w:iCs/>
        </w:rPr>
        <w:t xml:space="preserve">31</w:t>
      </w:r>
      <w:r>
        <w:t xml:space="preserve">(3), 347–354.</w:t>
      </w:r>
      <w:r>
        <w:t xml:space="preserve"> </w:t>
      </w:r>
      <w:hyperlink r:id="rId536">
        <w:r>
          <w:rPr>
            <w:rStyle w:val="Hyperlink"/>
          </w:rPr>
          <w:t xml:space="preserve">https://doi.org/10.1016/j.psyneuen.2005.08.014</w:t>
        </w:r>
      </w:hyperlink>
    </w:p>
    <w:bookmarkEnd w:id="537"/>
    <w:bookmarkStart w:id="538"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538"/>
    <w:bookmarkStart w:id="540" w:name="ref-Zhou2022"/>
    <w:p>
      <w:pPr>
        <w:pStyle w:val="BodyText"/>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539">
        <w:r>
          <w:rPr>
            <w:rStyle w:val="Hyperlink"/>
          </w:rPr>
          <w:t xml:space="preserve">https://doi.org/10.1111/jcpp.13474</w:t>
        </w:r>
      </w:hyperlink>
    </w:p>
    <w:bookmarkEnd w:id="540"/>
    <w:bookmarkEnd w:id="541"/>
    <w:bookmarkEnd w:id="542"/>
    <w:bookmarkEnd w:id="543"/>
    <w:bookmarkStart w:id="665"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544">
        <w:r>
          <w:rPr>
            <w:rStyle w:val="Hyperlink"/>
          </w:rPr>
          <w:t xml:space="preserve">DOI</w:t>
        </w:r>
      </w:hyperlink>
    </w:p>
    <w:bookmarkStart w:id="545"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545"/>
    <w:bookmarkStart w:id="555" w:name="links-3"/>
    <w:p>
      <w:pPr>
        <w:pStyle w:val="Heading2"/>
      </w:pPr>
      <w:r>
        <w:t xml:space="preserve">Links</w:t>
      </w:r>
    </w:p>
    <w:p>
      <w:pPr>
        <w:pStyle w:val="FirstParagraph"/>
      </w:pPr>
      <w:r>
        <w:rPr>
          <w:b/>
          <w:bCs/>
        </w:rPr>
        <w:t xml:space="preserve">Supplementary materials</w:t>
      </w:r>
      <w:r>
        <w:t xml:space="preserve">: https://osf.io/2f4sg</w:t>
      </w:r>
      <w:r>
        <w:t xml:space="preserve"> </w:t>
      </w:r>
      <w:r>
        <w:drawing>
          <wp:inline>
            <wp:extent cx="1188720" cy="1188720"/>
            <wp:effectExtent b="0" l="0" r="0" t="0"/>
            <wp:docPr descr="" title="" id="547" name="Picture"/>
            <a:graphic>
              <a:graphicData uri="http://schemas.openxmlformats.org/drawingml/2006/picture">
                <pic:pic>
                  <pic:nvPicPr>
                    <pic:cNvPr descr="7.Chapter/../img/qrcode_supp7.png" id="548" name="Picture"/>
                    <pic:cNvPicPr>
                      <a:picLocks noChangeArrowheads="1" noChangeAspect="1"/>
                    </pic:cNvPicPr>
                  </pic:nvPicPr>
                  <pic:blipFill>
                    <a:blip r:embed="rId546"/>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https://github.com/SereDef/arterial-health-brain</w:t>
      </w:r>
      <w:r>
        <w:t xml:space="preserve"> </w:t>
      </w:r>
      <w:r>
        <w:drawing>
          <wp:inline>
            <wp:extent cx="1188720" cy="1188720"/>
            <wp:effectExtent b="0" l="0" r="0" t="0"/>
            <wp:docPr descr="" title="" id="550" name="Picture"/>
            <a:graphic>
              <a:graphicData uri="http://schemas.openxmlformats.org/drawingml/2006/picture">
                <pic:pic>
                  <pic:nvPicPr>
                    <pic:cNvPr descr="7.Chapter/../img/qrcode_chap7_repo.png" id="551" name="Picture"/>
                    <pic:cNvPicPr>
                      <a:picLocks noChangeArrowheads="1" noChangeAspect="1"/>
                    </pic:cNvPicPr>
                  </pic:nvPicPr>
                  <pic:blipFill>
                    <a:blip r:embed="rId549"/>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OSF Pre-registration</w:t>
      </w:r>
      <w:r>
        <w:t xml:space="preserve">: https://osf.io/ryc7e</w:t>
      </w:r>
      <w:r>
        <w:t xml:space="preserve"> </w:t>
      </w:r>
      <w:r>
        <w:drawing>
          <wp:inline>
            <wp:extent cx="1188720" cy="1188720"/>
            <wp:effectExtent b="0" l="0" r="0" t="0"/>
            <wp:docPr descr="" title="" id="553" name="Picture"/>
            <a:graphic>
              <a:graphicData uri="http://schemas.openxmlformats.org/drawingml/2006/picture">
                <pic:pic>
                  <pic:nvPicPr>
                    <pic:cNvPr descr="7.Chapter/../img/qrcode_els_repo.png" id="554" name="Picture"/>
                    <pic:cNvPicPr>
                      <a:picLocks noChangeArrowheads="1" noChangeAspect="1"/>
                    </pic:cNvPicPr>
                  </pic:nvPicPr>
                  <pic:blipFill>
                    <a:blip r:embed="rId552"/>
                    <a:stretch>
                      <a:fillRect/>
                    </a:stretch>
                  </pic:blipFill>
                  <pic:spPr bwMode="auto">
                    <a:xfrm>
                      <a:off x="0" y="0"/>
                      <a:ext cx="1188720" cy="1188720"/>
                    </a:xfrm>
                    <a:prstGeom prst="rect">
                      <a:avLst/>
                    </a:prstGeom>
                    <a:noFill/>
                    <a:ln w="9525">
                      <a:noFill/>
                      <a:headEnd/>
                      <a:tailEnd/>
                    </a:ln>
                  </pic:spPr>
                </pic:pic>
              </a:graphicData>
            </a:graphic>
          </wp:inline>
        </w:drawing>
      </w:r>
    </w:p>
    <w:bookmarkEnd w:id="555"/>
    <w:bookmarkStart w:id="556" w:name="keywords-3"/>
    <w:p>
      <w:pPr>
        <w:pStyle w:val="Heading2"/>
      </w:pPr>
      <w:r>
        <w:t xml:space="preserve">Keywords</w:t>
      </w:r>
    </w:p>
    <w:p>
      <w:pPr>
        <w:pStyle w:val="FirstParagraph"/>
      </w:pPr>
      <w:r>
        <w:t xml:space="preserve">Blood pressure; Carotid intima-media thickness; Carotid distensibility; Neuro-imaging; Adolescence.</w:t>
      </w:r>
    </w:p>
    <w:bookmarkEnd w:id="556"/>
    <w:bookmarkStart w:id="557" w:name="abbreviations-3"/>
    <w:p>
      <w:pPr>
        <w:pStyle w:val="Heading2"/>
      </w:pPr>
      <w:r>
        <w:t xml:space="preserve">Abbreviations</w:t>
      </w:r>
    </w:p>
    <w:p>
      <w:pPr>
        <w:pStyle w:val="FirstParagraph"/>
      </w:pPr>
      <w:r>
        <w:t xml:space="preserve">Body Mass Index (BMI), Carotid intima–media thickness (cIMT), Coronary Artery Risk Development in Young Adults (CARDIA), Diffusion tensor imaging (DTI), False discovery rate (FDR), Fractional anisotropy (FA), Framingham Third-Generation Cohort Study (FHS-G3), Grey matter volume (GMV), Magnetic Resonance Images (MRI), Mean diffusivity (MD), Systolic / diastolic blood pressure (SBP / DBP), Total brain volume (TBV).</w:t>
      </w:r>
    </w:p>
    <w:bookmarkEnd w:id="557"/>
    <w:bookmarkStart w:id="559" w:name="introduction-5"/>
    <w:p>
      <w:pPr>
        <w:pStyle w:val="Heading2"/>
      </w:pPr>
      <w:r>
        <w:t xml:space="preserve">7.1 Introduction</w:t>
      </w:r>
    </w:p>
    <w:p>
      <w:pPr>
        <w:pStyle w:val="FirstParagraph"/>
      </w:pPr>
      <w:r>
        <w:t xml:space="preserve">While cardiovascular disease remains the leading cause of death worldwide, the global burden of brain disease is rapidly increasing and is often associated with the same risk factors, as highlighted by the latest statistical update from the American Heart Association</w:t>
      </w:r>
      <w:r>
        <w:t xml:space="preserve"> </w:t>
      </w:r>
      <w:r>
        <w:t xml:space="preserve">(Tsao et al., 2022)</w:t>
      </w:r>
      <w:r>
        <w:t xml:space="preserve">. Indeed, known cardiovascular risk factors such as hypertension</w:t>
      </w:r>
      <w:r>
        <w:t xml:space="preserve"> </w:t>
      </w:r>
      <w:r>
        <w:t xml:space="preserve">(Alateeq et al., 2022; Beauchet et al., 2013)</w:t>
      </w:r>
      <w:r>
        <w:t xml:space="preserve">, arterial stiffness</w:t>
      </w:r>
      <w:r>
        <w:t xml:space="preserve"> </w:t>
      </w:r>
      <w:r>
        <w:t xml:space="preserve">(Badji et al., 2019; Baradaran &amp; Gupta, 2020)</w:t>
      </w:r>
      <w:r>
        <w:t xml:space="preserve"> </w:t>
      </w:r>
      <w:r>
        <w:t xml:space="preserve">and atherosclerosis</w:t>
      </w:r>
      <w:r>
        <w:t xml:space="preserve"> </w:t>
      </w:r>
      <w:r>
        <w:t xml:space="preserve">(Baradaran &amp; Gupta, 2020; W. Wang et al., 2022)</w:t>
      </w:r>
      <w:r>
        <w:t xml:space="preserve">, have been consistently associated with the pathogenesis of cerebrovascular disease (e.g., stroke and white matter lesions) and cognitive decline in the elderly.</w:t>
      </w:r>
    </w:p>
    <w:p>
      <w:pPr>
        <w:pStyle w:val="BodyText"/>
      </w:pPr>
      <w:r>
        <w:t xml:space="preserve">Accumulating evidence further suggests that more subtle vascular health–related brain changes may occur in younger adults, far before evident injury events, and even when the overall vascular burden is low. For example, the Framingham Third-Generation Cohort Study (FHS-G3) investigators reported cross-sectional associations of arterial stiffness with lower grey-matter density and white-matter microstructural integrity, assessed with diffusion tensor imaging (DTI), in the fifth decade of life</w:t>
      </w:r>
      <w:r>
        <w:t xml:space="preserve"> </w:t>
      </w:r>
      <w:r>
        <w:t xml:space="preserve">(Maillard et al., 2016, 2017)</w:t>
      </w:r>
      <w:r>
        <w:t xml:space="preserve">. Higher arterial stiffness was also associated with poorer processing speed and executive function, and with larger lateral ventricular volumes in younger adults (30-45 years) from the FHS-G3</w:t>
      </w:r>
      <w:r>
        <w:t xml:space="preserve"> </w:t>
      </w:r>
      <w:r>
        <w:t xml:space="preserve">(Pase et al., 2016)</w:t>
      </w:r>
      <w:r>
        <w:t xml:space="preserve">. Moreover, in a group of 45-year-old adults from the Coronary Artery Risk Development in Young Adults (CARDIA) Study, higher carotid intima–media thickness (cIMT), a subclinical marker of atherosclerosis, was associated with reduced cerebral blood flow and with poorer cognitive function five years later</w:t>
      </w:r>
      <w:r>
        <w:t xml:space="preserve"> </w:t>
      </w:r>
      <w:r>
        <w:t xml:space="preserve">(Al Hazzouri et al., 2015; Cermakova et al., 2020)</w:t>
      </w:r>
      <w:r>
        <w:t xml:space="preserve">. In the same cohort, midlife hypertension</w:t>
      </w:r>
      <w:r>
        <w:t xml:space="preserve"> </w:t>
      </w:r>
      <w:r>
        <w:t xml:space="preserve">(Launer et al., 2015)</w:t>
      </w:r>
      <w:r>
        <w:t xml:space="preserve"> </w:t>
      </w:r>
      <w:r>
        <w:t xml:space="preserve">and increasing blood pressure trajectories from young adulthood to middle age</w:t>
      </w:r>
      <w:r>
        <w:t xml:space="preserve"> </w:t>
      </w:r>
      <w:r>
        <w:t xml:space="preserve">(Hu et al., 2022)</w:t>
      </w:r>
      <w:r>
        <w:t xml:space="preserve"> </w:t>
      </w:r>
      <w:r>
        <w:t xml:space="preserve">were associated with lower cerebral perfusion and volumetric markers of poor white- and grey- matter health at age 50. Blood pressure was also linearly associated with reduced grey-matter volumes and white matter microstructural integrity at age 40 in the FHS-G3 sample</w:t>
      </w:r>
      <w:r>
        <w:t xml:space="preserve"> </w:t>
      </w:r>
      <w:r>
        <w:t xml:space="preserve">(Maillard et al., 2012)</w:t>
      </w:r>
      <w:r>
        <w:t xml:space="preserve"> </w:t>
      </w:r>
      <w:r>
        <w:t xml:space="preserve">and with grey matter and white matter lesion volume before the age of 45 in the UK Biobank</w:t>
      </w:r>
      <w:r>
        <w:t xml:space="preserve"> </w:t>
      </w:r>
      <w:r>
        <w:t xml:space="preserve">(Alateeq et al., 2022)</w:t>
      </w:r>
      <w:r>
        <w:t xml:space="preserve">.</w:t>
      </w:r>
    </w:p>
    <w:p>
      <w:pPr>
        <w:pStyle w:val="BodyText"/>
      </w:pPr>
      <w:r>
        <w:t xml:space="preserve">Although analogous neuroimaging studies in children are lacking, there is evidence linking elevated blood pressure with cognitive performance already in childhood</w:t>
      </w:r>
      <w:r>
        <w:t xml:space="preserve"> </w:t>
      </w:r>
      <w:r>
        <w:t xml:space="preserve">(Lamballais et al., 2018; Lande &amp; Kupferman, 2019)</w:t>
      </w:r>
      <w:r>
        <w:t xml:space="preserve">. Further, related cardiovascular risk factors, such as adiposity</w:t>
      </w:r>
      <w:r>
        <w:t xml:space="preserve"> </w:t>
      </w:r>
      <w:r>
        <w:t xml:space="preserve">(Silva et al., 2021; Steegers et al., 2021)</w:t>
      </w:r>
      <w:r>
        <w:t xml:space="preserve"> </w:t>
      </w:r>
      <w:r>
        <w:t xml:space="preserve">and diabetes</w:t>
      </w:r>
      <w:r>
        <w:t xml:space="preserve"> </w:t>
      </w:r>
      <w:r>
        <w:t xml:space="preserve">(Redel et al., 2022)</w:t>
      </w:r>
      <w:r>
        <w:t xml:space="preserve"> </w:t>
      </w:r>
      <w:r>
        <w:t xml:space="preserve">have been shown to associate with brain structural changes in children and adolescents. However, thus far very little attention has been paid to the potential impact of vascular health on the brain during development, despite evidence that arterial stiffening and thickening, and blood pressure dysregulation begin very early in life</w:t>
      </w:r>
      <w:r>
        <w:t xml:space="preserve"> </w:t>
      </w:r>
      <w:r>
        <w:t xml:space="preserve">(Kruger et al., 2021; Rosner et al., 2013; Song et al., 2020)</w:t>
      </w:r>
      <w:r>
        <w:t xml:space="preserve">. From a clinical standpoint, characterizing these associations is a fundamental step in the development of early intervention strategies that may prevent abnormal brain development before irreversible structural damage occurs.</w:t>
      </w:r>
    </w:p>
    <w:p>
      <w:pPr>
        <w:pStyle w:val="BodyText"/>
      </w:pPr>
      <w:r>
        <w:t xml:space="preserve">Using data from the Generation R Study, a large population-based birth cohort, we investigated how arterial thickness and distensibility, as well as systolic / diastolic blood pressure (SBP / DBP), measured at age 10 associate with brain morphology and microstructure extracted from MRI scans at age 10 and 14 years.</w:t>
      </w:r>
    </w:p>
    <w:p>
      <w:pPr>
        <w:pStyle w:val="BodyText"/>
      </w:pPr>
      <w:r>
        <w:t xml:space="preserve">This study was</w:t>
      </w:r>
      <w:r>
        <w:t xml:space="preserve"> </w:t>
      </w:r>
      <w:hyperlink r:id="rId558">
        <w:r>
          <w:rPr>
            <w:rStyle w:val="Hyperlink"/>
          </w:rPr>
          <w:t xml:space="preserve">pre-registered</w:t>
        </w:r>
      </w:hyperlink>
      <w:r>
        <w:t xml:space="preserve">. Briefly, we hypothesized that: 1) higher cIMT, 2) lower distensibility and 3) higher SBP / DBP would associate with</w:t>
      </w:r>
      <w:r>
        <w:t xml:space="preserve"> </w:t>
      </w:r>
      <w:r>
        <w:rPr>
          <w:i/>
          <w:iCs/>
        </w:rPr>
        <w:t xml:space="preserve">a)</w:t>
      </w:r>
      <w:r>
        <w:t xml:space="preserve"> </w:t>
      </w:r>
      <w:r>
        <w:t xml:space="preserve">lower total brain volume,</w:t>
      </w:r>
      <w:r>
        <w:t xml:space="preserve"> </w:t>
      </w:r>
      <w:r>
        <w:rPr>
          <w:i/>
          <w:iCs/>
        </w:rPr>
        <w:t xml:space="preserve">b)</w:t>
      </w:r>
      <w:r>
        <w:t xml:space="preserve"> </w:t>
      </w:r>
      <w:r>
        <w:t xml:space="preserve">lower grey-matter volume,</w:t>
      </w:r>
      <w:r>
        <w:t xml:space="preserve"> </w:t>
      </w:r>
      <w:r>
        <w:rPr>
          <w:i/>
          <w:iCs/>
        </w:rPr>
        <w:t xml:space="preserve">c)</w:t>
      </w:r>
      <w:r>
        <w:t xml:space="preserve"> </w:t>
      </w:r>
      <w:r>
        <w:t xml:space="preserve">lower global fractional anisotropy and/or</w:t>
      </w:r>
      <w:r>
        <w:t xml:space="preserve"> </w:t>
      </w:r>
      <w:r>
        <w:rPr>
          <w:i/>
          <w:iCs/>
        </w:rPr>
        <w:t xml:space="preserve">d)</w:t>
      </w:r>
      <w:r>
        <w:t xml:space="preserve"> </w:t>
      </w:r>
      <w:r>
        <w:t xml:space="preserve">higher mean diffusivity.</w:t>
      </w:r>
    </w:p>
    <w:bookmarkEnd w:id="559"/>
    <w:bookmarkStart w:id="568" w:name="methods-5"/>
    <w:p>
      <w:pPr>
        <w:pStyle w:val="Heading2"/>
      </w:pPr>
      <w:r>
        <w:t xml:space="preserve">7.2 Methods</w:t>
      </w:r>
    </w:p>
    <w:p>
      <w:pPr>
        <w:pStyle w:val="FirstParagraph"/>
      </w:pPr>
      <w:r>
        <w:t xml:space="preserve">The data that support the findings of this study are available from the corresponding author upon reasonable request.</w:t>
      </w:r>
    </w:p>
    <w:bookmarkStart w:id="561" w:name="study-population"/>
    <w:p>
      <w:pPr>
        <w:pStyle w:val="Heading3"/>
      </w:pPr>
      <w:r>
        <w:t xml:space="preserve">Study population</w:t>
      </w:r>
    </w:p>
    <w:p>
      <w:pPr>
        <w:pStyle w:val="FirstParagraph"/>
      </w:pPr>
      <w:r>
        <w:t xml:space="preserve">The study uses data from the Generation R Study, an ongoing population-based prospective cohort study based in the city of Rotterdam, the Netherlands. A detailed cohort description is provided elsewhere</w:t>
      </w:r>
      <w:r>
        <w:t xml:space="preserve"> </w:t>
      </w:r>
      <w:r>
        <w:t xml:space="preserve">(Kooijman et al., 2016)</w:t>
      </w:r>
      <w:r>
        <w:t xml:space="preserve">. In summary, the cohort included 9749 children born between April 2002 and January 2006. The analytical sample consisted of 5341 singletons who participated in the baseline (i.e., 10-year) visit and had no siblings in the sample (see</w:t>
      </w:r>
      <w:r>
        <w:t xml:space="preserve"> </w:t>
      </w:r>
      <w:hyperlink r:id="rId560">
        <w:r>
          <w:rPr>
            <w:rStyle w:val="Hyperlink"/>
          </w:rPr>
          <w:t xml:space="preserve">Figure S1</w:t>
        </w:r>
      </w:hyperlink>
      <w:r>
        <w:t xml:space="preserve">). Of these children, 2054 had complete structural MRI data and 2308 had complete DTI data. Missing values in all variables of interest were imputed by random-forest multiple imputation.</w:t>
      </w:r>
      <w:r>
        <w:t xml:space="preserve"> </w:t>
      </w:r>
      <w:r>
        <w:t xml:space="preserve">Ethical standards. The study conforms with the World Medical Association Declaration of Helsinki</w:t>
      </w:r>
      <w:r>
        <w:t xml:space="preserve"> </w:t>
      </w:r>
      <w:r>
        <w:t xml:space="preserve">(2013)</w:t>
      </w:r>
      <w:r>
        <w:t xml:space="preserve">. Written informed consent was obtained from parents. The medical ethical committee of Erasmus MC, University Medical Center Rotterdam approved the study.</w:t>
      </w:r>
    </w:p>
    <w:bookmarkEnd w:id="561"/>
    <w:bookmarkStart w:id="562" w:name="arterial-health"/>
    <w:p>
      <w:pPr>
        <w:pStyle w:val="Heading3"/>
      </w:pPr>
      <w:r>
        <w:t xml:space="preserve">Arterial health</w:t>
      </w:r>
    </w:p>
    <w:p>
      <w:pPr>
        <w:pStyle w:val="FirstParagraph"/>
      </w:pPr>
      <w:r>
        <w:t xml:space="preserve">At the age of 10 years, carotid artery ultrasound was performed using the Logiq E9 device (GE Medical Systems, Wauwatosa, Wisconsin) while blood pressure was simultaneously assessed at the right brachial artery. Children were in supine position, with their head tilted slightly away from the transducer. The common carotid artery was identified in a longitudinal plane, ~10 mm proximal from the carotid bifurcation. Each common carotid artery was measured three times, resulting in six recordings that ideally included multiple heart cycles.</w:t>
      </w:r>
    </w:p>
    <w:p>
      <w:pPr>
        <w:pStyle w:val="BodyText"/>
      </w:pPr>
      <w:r>
        <w:rPr>
          <w:b/>
          <w:bCs/>
          <w:i/>
          <w:iCs/>
        </w:rPr>
        <w:t xml:space="preserve">Carotid intima–media thickness.</w:t>
      </w:r>
      <w:r>
        <w:t xml:space="preserve"> </w:t>
      </w:r>
      <w:r>
        <w:t xml:space="preserve">For each ultrasound recording, and at all R waves of the simultaneous electrocardiogram, cIMT was computed at the far wall as the average distance between lumen-intima and media-adventitia borders. Average cIMT of all frames of the acquired image sequence was then computed. Analyses were performed offline and semiautomatically, using the application Carotid Studio (Cardiovascular Suite; Quipu srl, Pisa, Italy). Overall mean cIMT (millimeters) was standardized using a z-transformation - i.e., (value – sample mean) / sample SD.</w:t>
      </w:r>
    </w:p>
    <w:p>
      <w:pPr>
        <w:pStyle w:val="BodyText"/>
      </w:pPr>
      <w:r>
        <w:rPr>
          <w:b/>
          <w:bCs/>
          <w:i/>
          <w:iCs/>
        </w:rPr>
        <w:t xml:space="preserve">Carotid distensibility.</w:t>
      </w:r>
      <w:r>
        <w:t xml:space="preserve"> </w:t>
      </w:r>
      <w:r>
        <w:t xml:space="preserve">The c coefficient, i.e., the relative change in lumen area during systole for a given peripheral pressure change was calculated as the difference between the maximal (diastolic) and minimal (systolic) lumen diameter of the carotid artery. Lumen diameter was computed as the average distance between the far and near media-adventitia interfaces for each frame of the acquired image sequence. Per recording, average distension and diameter values were used to compute the average carotid distensibility. Overall mean carotid distensibility (kPa</w:t>
      </w:r>
      <w:r>
        <w:rPr>
          <w:vertAlign w:val="superscript"/>
        </w:rPr>
        <w:t xml:space="preserve">−1</w:t>
      </w:r>
      <w:r>
        <w:t xml:space="preserve"> </w:t>
      </w:r>
      <w:r>
        <w:t xml:space="preserve">× 10</w:t>
      </w:r>
      <w:r>
        <w:rPr>
          <w:vertAlign w:val="superscript"/>
        </w:rPr>
        <w:t xml:space="preserve">−3</w:t>
      </w:r>
      <w:r>
        <w:t xml:space="preserve">) was standardized using a z-transformation.</w:t>
      </w:r>
    </w:p>
    <w:p>
      <w:pPr>
        <w:pStyle w:val="BodyText"/>
      </w:pPr>
      <w:r>
        <w:rPr>
          <w:b/>
          <w:bCs/>
          <w:i/>
          <w:iCs/>
        </w:rPr>
        <w:t xml:space="preserve">Blood pressure.</w:t>
      </w:r>
      <w:r>
        <w:t xml:space="preserve"> </w:t>
      </w:r>
      <w:r>
        <w:t xml:space="preserve">SBP and DBP were measured at the right brachial artery, four times with 1-min intervals, using the validated automatic sphygmomanometer Datascope Accutorr PlusTM (Paramus, New Jersey, USA). SBP and DBP (mm Hg) were determined by excluding the first measurement and averaging the other measurements, and were standardized using a z-transformation.</w:t>
      </w:r>
    </w:p>
    <w:bookmarkEnd w:id="562"/>
    <w:bookmarkStart w:id="564" w:name="brain-imaging"/>
    <w:p>
      <w:pPr>
        <w:pStyle w:val="Heading3"/>
      </w:pPr>
      <w:r>
        <w:t xml:space="preserve">Brain imaging</w:t>
      </w:r>
    </w:p>
    <w:p>
      <w:pPr>
        <w:pStyle w:val="FirstParagraph"/>
      </w:pPr>
      <w:r>
        <w:t xml:space="preserve">At the ages of 10 and 14 years, participants visited the Generation R research center at Erasmus MC – Sophia Children’s Hospital, where brain Magnetic Resonance Images (MRI) were acquired using a single, dedicated 3-Tesla scanner (General Electric MR750w, Milwaukee, WI, USA) with an eight-channel head coil. To minimize head motion, participants were familiarized with the scanner environment using a mock scanner.</w:t>
      </w:r>
    </w:p>
    <w:p>
      <w:pPr>
        <w:pStyle w:val="BodyText"/>
      </w:pPr>
      <w:r>
        <w:rPr>
          <w:b/>
          <w:bCs/>
          <w:i/>
          <w:iCs/>
        </w:rPr>
        <w:t xml:space="preserve">Brain volume.</w:t>
      </w:r>
      <w:r>
        <w:t xml:space="preserve"> </w:t>
      </w:r>
      <w:r>
        <w:t xml:space="preserve">High resolution T1-weighted images were obtained with an inversion recovery fast-spoiled gradient recalled sequence (parameters: TR = 8.77 ms, TE = 3.4 ms, TI = 600 ms, flip angle = 10°, FOV = 220×220mm, acquisition matrix = 220×220, slice thickness = 1mm, number of slices = 230, voxel size = 1×1×1mm, ARC Acceleration = 2). Images were processed using FreeSurfer 6.0</w:t>
      </w:r>
      <w:r>
        <w:t xml:space="preserve"> </w:t>
      </w:r>
      <w:r>
        <w:t xml:space="preserve">(Fischl, 2012)</w:t>
      </w:r>
      <w:r>
        <w:t xml:space="preserve">. The technical details of these procedures are described elsewhere</w:t>
      </w:r>
      <w:r>
        <w:t xml:space="preserve"> </w:t>
      </w:r>
      <w:r>
        <w:t xml:space="preserve">(Muetzel et al., 2019)</w:t>
      </w:r>
      <w:r>
        <w:t xml:space="preserve">. In brief, this included removal of the non-brain tissue, segmentation of white and grey matter structures, tessellation of the grey-white matter boundary, topology correction and surface deformation to identify the cortical grey-white matter and the grey-cerebrospinal fluid boundary. Reconstructions were visually inspected and those with insufficient quality were further excluded</w:t>
      </w:r>
      <w:r>
        <w:t xml:space="preserve"> </w:t>
      </w:r>
      <w:r>
        <w:t xml:space="preserve">(Muetzel et al., 2019)</w:t>
      </w:r>
      <w:r>
        <w:t xml:space="preserve">.</w:t>
      </w:r>
    </w:p>
    <w:p>
      <w:pPr>
        <w:pStyle w:val="BodyText"/>
      </w:pPr>
      <w:r>
        <w:t xml:space="preserve">Global metrics of volume, i.e., total brain (TBV) and total grey matter volume (GMV), as well as specific subcortical structures’ volumes were extracted. Brain metrics were be standardized using a z-transformation.</w:t>
      </w:r>
    </w:p>
    <w:p>
      <w:pPr>
        <w:pStyle w:val="BodyText"/>
      </w:pPr>
      <w:r>
        <w:rPr>
          <w:b/>
          <w:bCs/>
          <w:i/>
          <w:iCs/>
        </w:rPr>
        <w:t xml:space="preserve">White matter microstructure.</w:t>
      </w:r>
      <w:r>
        <w:t xml:space="preserve"> </w:t>
      </w:r>
      <w:r>
        <w:t xml:space="preserve">DTI data were obtained using an echo-planar sequence with three b = 0 scans and 35 diffusion-weighted images (b = 1000 s/mm</w:t>
      </w:r>
      <w:r>
        <w:rPr>
          <w:vertAlign w:val="superscript"/>
        </w:rPr>
        <w:t xml:space="preserve">2</w:t>
      </w:r>
      <w:r>
        <w:t xml:space="preserve">). The following parameters were used: TR = 12.5 ms, TE = 72.8 ms, FOV = 240×240 mm, acquisition matrix = 120×120, slice thickness = 2 mm, number of slices = 65. Images were pre-processed using</w:t>
      </w:r>
      <w:r>
        <w:t xml:space="preserve"> </w:t>
      </w:r>
      <w:hyperlink r:id="rId563">
        <w:r>
          <w:rPr>
            <w:rStyle w:val="Hyperlink"/>
          </w:rPr>
          <w:t xml:space="preserve">FSL 6.0.1</w:t>
        </w:r>
      </w:hyperlink>
      <w:r>
        <w:t xml:space="preserve">. Briefly, non-brain tissue was removed, images were corrected for eddy current-induced distortions and minor head motion using</w:t>
      </w:r>
      <w:r>
        <w:t xml:space="preserve"> </w:t>
      </w:r>
      <w:r>
        <w:t xml:space="preserve">‘eddy’</w:t>
      </w:r>
      <w:r>
        <w:t xml:space="preserve">, and the diffusion gradient table was rotated accordingly. A diffusion tensor was fit at each voxel using a weighted least squares method, and common scalar metrics including global fractional anisotropy (FA) and mean diffusivity (MD) were computed. FA describes the degree to which water diffuses preferentially along one direction (e.g., along a bundle of myelinated axons) and is sensitive to microstructural changes. MD describes the average diffusion in all directions. White matter tracts, were also delineated using fully-automated probabilistic fiber tractography as implemented in FSL AutoPtx</w:t>
      </w:r>
      <w:r>
        <w:t xml:space="preserve"> </w:t>
      </w:r>
      <w:r>
        <w:t xml:space="preserve">(De Groot et al., 2013)</w:t>
      </w:r>
      <w:r>
        <w:t xml:space="preserve">. Average FA and MD were calculated for each tract. Global and tract-specific FA and MD values were standardized using a z-transformation. Image quality was assessed by manual and automated inspection</w:t>
      </w:r>
      <w:r>
        <w:t xml:space="preserve"> </w:t>
      </w:r>
      <w:r>
        <w:t xml:space="preserve">(Muetzel et al., 2018)</w:t>
      </w:r>
      <w:r>
        <w:t xml:space="preserve">.</w:t>
      </w:r>
    </w:p>
    <w:bookmarkEnd w:id="564"/>
    <w:bookmarkStart w:id="565" w:name="covariates-1"/>
    <w:p>
      <w:pPr>
        <w:pStyle w:val="Heading3"/>
      </w:pPr>
      <w:r>
        <w:t xml:space="preserve">Covariates</w:t>
      </w:r>
    </w:p>
    <w:p>
      <w:pPr>
        <w:pStyle w:val="FirstParagraph"/>
      </w:pPr>
      <w:r>
        <w:t xml:space="preserve">Information on the maternal age and child ethnic background (based on parental country of origin and dichotomized into European vs. non-European) was collected by questionnaire at enrollment. Date of birth and child sex, weight and gestational age were recorded at birth. Both caregivers reported on their highest completed educational level when children were 6 years old, and these reports were combined into a single</w:t>
      </w:r>
      <w:r>
        <w:t xml:space="preserve"> </w:t>
      </w:r>
      <w:r>
        <w:t xml:space="preserve">“parental education”</w:t>
      </w:r>
      <w:r>
        <w:t xml:space="preserve"> </w:t>
      </w:r>
      <w:r>
        <w:t xml:space="preserve">score. Child height (in m) and weight (in kg) were measured during the 10-years visit, and used to compute body mass index (BMI) z-scores.</w:t>
      </w:r>
    </w:p>
    <w:bookmarkEnd w:id="565"/>
    <w:bookmarkStart w:id="567" w:name="statistical-analysis-2"/>
    <w:p>
      <w:pPr>
        <w:pStyle w:val="Heading3"/>
      </w:pPr>
      <w:r>
        <w:t xml:space="preserve">Statistical analysis</w:t>
      </w:r>
    </w:p>
    <w:p>
      <w:pPr>
        <w:pStyle w:val="FirstParagraph"/>
      </w:pPr>
      <w:r>
        <w:t xml:space="preserve">Analyses were conducted using R version 4.2.0(R Core Team, 2021). All scripts are</w:t>
      </w:r>
      <w:r>
        <w:t xml:space="preserve"> </w:t>
      </w:r>
      <w:hyperlink r:id="rId566">
        <w:r>
          <w:rPr>
            <w:rStyle w:val="Hyperlink"/>
          </w:rPr>
          <w:t xml:space="preserve">publicly available</w:t>
        </w:r>
      </w:hyperlink>
      <w:r>
        <w:t xml:space="preserve">.</w:t>
      </w:r>
    </w:p>
    <w:p>
      <w:pPr>
        <w:pStyle w:val="BodyText"/>
      </w:pPr>
      <w:r>
        <w:rPr>
          <w:b/>
          <w:bCs/>
          <w:i/>
          <w:iCs/>
        </w:rPr>
        <w:t xml:space="preserve">Imputation.</w:t>
      </w:r>
      <w:r>
        <w:t xml:space="preserve"> </w:t>
      </w:r>
      <w:r>
        <w:t xml:space="preserve">Missing data in all exposures, outcomes and covariates were imputed by random-forest multiple imputation</w:t>
      </w:r>
      <w:r>
        <w:t xml:space="preserve"> </w:t>
      </w:r>
      <w:r>
        <w:t xml:space="preserve">(Shah et al., 2014)</w:t>
      </w:r>
      <w:r>
        <w:t xml:space="preserve">, using 20 imputed datasets, 10 trees and 40 iterations, as implemented by the mice R package</w:t>
      </w:r>
      <w:r>
        <w:t xml:space="preserve"> </w:t>
      </w:r>
      <w:r>
        <w:t xml:space="preserve">(Buuren &amp; Groothuis-Oudshoorn, 2011)</w:t>
      </w:r>
      <w:r>
        <w:t xml:space="preserve">. Details of the imputation model and quality are provided in Supplementary materials (</w:t>
      </w:r>
      <w:hyperlink r:id="rId560">
        <w:r>
          <w:rPr>
            <w:rStyle w:val="Hyperlink"/>
          </w:rPr>
          <w:t xml:space="preserve">Methods S1</w:t>
        </w:r>
      </w:hyperlink>
      <w:r>
        <w:t xml:space="preserve"> </w:t>
      </w:r>
      <w:r>
        <w:t xml:space="preserve">and</w:t>
      </w:r>
      <w:r>
        <w:t xml:space="preserve"> </w:t>
      </w:r>
      <w:hyperlink r:id="rId560">
        <w:r>
          <w:rPr>
            <w:rStyle w:val="Hyperlink"/>
          </w:rPr>
          <w:t xml:space="preserve">Table S1</w:t>
        </w:r>
      </w:hyperlink>
      <w:r>
        <w:t xml:space="preserve">).</w:t>
      </w:r>
    </w:p>
    <w:p>
      <w:pPr>
        <w:pStyle w:val="BodyText"/>
      </w:pPr>
      <w:r>
        <w:rPr>
          <w:b/>
          <w:bCs/>
          <w:i/>
          <w:iCs/>
        </w:rPr>
        <w:t xml:space="preserve">Main analyses.</w:t>
      </w:r>
      <w:r>
        <w:t xml:space="preserve"> </w:t>
      </w:r>
      <w:r>
        <w:t xml:space="preserve">All models were fit in each imputed dataset, and pooled across imputations using Rubin’s rules</w:t>
      </w:r>
      <w:r>
        <w:t xml:space="preserve"> </w:t>
      </w:r>
      <w:r>
        <w:t xml:space="preserve">(Rubin, 1987)</w:t>
      </w:r>
      <w:r>
        <w:t xml:space="preserve">. For each exposure of interest (i.e., carotid IMT and distensibility, SBP and DBP), four multiple linear regressions were performed including</w:t>
      </w:r>
      <w:r>
        <w:t xml:space="preserve"> </w:t>
      </w:r>
      <w:r>
        <w:rPr>
          <w:i/>
          <w:iCs/>
        </w:rPr>
        <w:t xml:space="preserve">a)</w:t>
      </w:r>
      <w:r>
        <w:t xml:space="preserve"> </w:t>
      </w:r>
      <w:r>
        <w:t xml:space="preserve">TBV,</w:t>
      </w:r>
      <w:r>
        <w:t xml:space="preserve"> </w:t>
      </w:r>
      <w:r>
        <w:rPr>
          <w:i/>
          <w:iCs/>
        </w:rPr>
        <w:t xml:space="preserve">b)</w:t>
      </w:r>
      <w:r>
        <w:t xml:space="preserve"> </w:t>
      </w:r>
      <w:r>
        <w:t xml:space="preserve">GMV,</w:t>
      </w:r>
      <w:r>
        <w:t xml:space="preserve"> </w:t>
      </w:r>
      <w:r>
        <w:rPr>
          <w:i/>
          <w:iCs/>
        </w:rPr>
        <w:t xml:space="preserve">c)</w:t>
      </w:r>
      <w:r>
        <w:t xml:space="preserve"> </w:t>
      </w:r>
      <w:r>
        <w:t xml:space="preserve">global FA and</w:t>
      </w:r>
      <w:r>
        <w:t xml:space="preserve"> </w:t>
      </w:r>
      <w:r>
        <w:rPr>
          <w:i/>
          <w:iCs/>
        </w:rPr>
        <w:t xml:space="preserve">d)</w:t>
      </w:r>
      <w:r>
        <w:t xml:space="preserve"> </w:t>
      </w:r>
      <w:r>
        <w:t xml:space="preserve">global MD, measured at age 14, as dependent variable. We ran a</w:t>
      </w:r>
      <w:r>
        <w:t xml:space="preserve"> </w:t>
      </w:r>
      <w:r>
        <w:t xml:space="preserve">“base model”</w:t>
      </w:r>
      <w:r>
        <w:t xml:space="preserve"> </w:t>
      </w:r>
      <w:r>
        <w:t xml:space="preserve">adjusting for child sex, height, age at MRI assessment and age gap between clinical and MRI assessments, and a</w:t>
      </w:r>
      <w:r>
        <w:t xml:space="preserve"> </w:t>
      </w:r>
      <w:r>
        <w:t xml:space="preserve">“confounder model”</w:t>
      </w:r>
      <w:r>
        <w:t xml:space="preserve">, which additionally included child ethnicity, BMI z-score, parental education and maternal age. Covariates were identified based on the graphical criteria for confounding (</w:t>
      </w:r>
      <w:hyperlink r:id="rId560">
        <w:r>
          <w:rPr>
            <w:rStyle w:val="Hyperlink"/>
          </w:rPr>
          <w:t xml:space="preserve">Figure S2</w:t>
        </w:r>
      </w:hyperlink>
      <w:r>
        <w:t xml:space="preserve">).</w:t>
      </w:r>
    </w:p>
    <w:p>
      <w:pPr>
        <w:pStyle w:val="BodyText"/>
      </w:pPr>
      <w:r>
        <w:t xml:space="preserve">To minimize false positive findings due to multiple testing (k=16), false discovery rate (FDR) correction</w:t>
      </w:r>
      <w:r>
        <w:t xml:space="preserve"> </w:t>
      </w:r>
      <w:r>
        <w:t xml:space="preserve">(Benjamini &amp; Yekutieli, 2001)</w:t>
      </w:r>
      <w:r>
        <w:t xml:space="preserve"> </w:t>
      </w:r>
      <w:r>
        <w:t xml:space="preserve">was applied to all p-values.</w:t>
      </w:r>
    </w:p>
    <w:p>
      <w:pPr>
        <w:pStyle w:val="BodyText"/>
      </w:pPr>
      <w:r>
        <w:t xml:space="preserve">Non-linear terms for each arterial health exposure (i.e., natural splines) were retained in the model when they significantly improved its fit (see</w:t>
      </w:r>
      <w:r>
        <w:t xml:space="preserve"> </w:t>
      </w:r>
      <w:hyperlink r:id="rId560">
        <w:r>
          <w:rPr>
            <w:rStyle w:val="Hyperlink"/>
          </w:rPr>
          <w:t xml:space="preserve">Methods S2</w:t>
        </w:r>
      </w:hyperlink>
      <w:r>
        <w:t xml:space="preserve">).</w:t>
      </w:r>
    </w:p>
    <w:p>
      <w:pPr>
        <w:pStyle w:val="BodyText"/>
      </w:pPr>
      <w:r>
        <w:rPr>
          <w:b/>
          <w:bCs/>
          <w:i/>
          <w:iCs/>
        </w:rPr>
        <w:t xml:space="preserve">Exploratory follow-up analyses.</w:t>
      </w:r>
      <w:r>
        <w:t xml:space="preserve"> </w:t>
      </w:r>
      <w:r>
        <w:t xml:space="preserve">We further assessed associations between each exposure and the longitudinal change in each neuroimaging marker from age 10 to 14 years, using linear mixed-effects models with a random intercept per subject (see</w:t>
      </w:r>
      <w:r>
        <w:t xml:space="preserve"> </w:t>
      </w:r>
      <w:hyperlink r:id="rId560">
        <w:r>
          <w:rPr>
            <w:rStyle w:val="Hyperlink"/>
          </w:rPr>
          <w:t xml:space="preserve">Methods S3</w:t>
        </w:r>
      </w:hyperlink>
      <w:r>
        <w:t xml:space="preserve">;</w:t>
      </w:r>
      <w:r>
        <w:t xml:space="preserve"> </w:t>
      </w:r>
      <w:r>
        <w:t xml:space="preserve">(Bates et al., 2015)</w:t>
      </w:r>
      <w:r>
        <w:t xml:space="preserve">). Note that brain outcomes were not standardized for these analyses to prevent incorrect estimation of the correlation structure.</w:t>
      </w:r>
    </w:p>
    <w:p>
      <w:pPr>
        <w:pStyle w:val="BodyText"/>
      </w:pPr>
      <w:r>
        <w:t xml:space="preserve">To further characterize the regional specificity of these effects, we assessed associations with: total intracranial, cerebro-spinal fluid, white matter, cortical and subcortical grey matter volumes, as well as subcortical regional volumes (Accumbens, Amygdala, Caudate, Hippocampus, Pallidum, Putamen, Thalamus); white-matter tracts FA and MD (Cingulate gyrus, Cortico-spinal tract, Uncinate fasciculus, Inferior &amp; Superior longitudinal fasciculus, Major &amp; Minor forceps), and vertex-wise cortical thickness (see</w:t>
      </w:r>
      <w:r>
        <w:t xml:space="preserve"> </w:t>
      </w:r>
      <w:hyperlink r:id="rId560">
        <w:r>
          <w:rPr>
            <w:rStyle w:val="Hyperlink"/>
          </w:rPr>
          <w:t xml:space="preserve">Methods S4</w:t>
        </w:r>
      </w:hyperlink>
      <w:r>
        <w:t xml:space="preserve">) at age 14. These latter analyses were further adjusted for total intracranial volume.</w:t>
      </w:r>
    </w:p>
    <w:p>
      <w:pPr>
        <w:pStyle w:val="BodyText"/>
      </w:pPr>
      <w:r>
        <w:t xml:space="preserve">Finally, since sex differences and premature birth have been implicated in the associations of interest</w:t>
      </w:r>
      <w:r>
        <w:t xml:space="preserve"> </w:t>
      </w:r>
      <w:r>
        <w:t xml:space="preserve">(Gluckman et al., 2008; Pasha et al., 2018)</w:t>
      </w:r>
      <w:r>
        <w:t xml:space="preserve">, we</w:t>
      </w:r>
      <w:r>
        <w:t xml:space="preserve"> </w:t>
      </w:r>
      <w:r>
        <w:rPr>
          <w:i/>
          <w:iCs/>
        </w:rPr>
        <w:t xml:space="preserve">a)</w:t>
      </w:r>
      <w:r>
        <w:t xml:space="preserve"> </w:t>
      </w:r>
      <w:r>
        <w:t xml:space="preserve">investigated effect modification by sex and</w:t>
      </w:r>
      <w:r>
        <w:t xml:space="preserve"> </w:t>
      </w:r>
      <w:r>
        <w:rPr>
          <w:i/>
          <w:iCs/>
        </w:rPr>
        <w:t xml:space="preserve">b)</w:t>
      </w:r>
      <w:r>
        <w:t xml:space="preserve"> </w:t>
      </w:r>
      <w:r>
        <w:t xml:space="preserve">additionally adjusted the main models for birthweight and gestational age at birth.</w:t>
      </w:r>
    </w:p>
    <w:p>
      <w:pPr>
        <w:pStyle w:val="BodyText"/>
      </w:pPr>
      <w:r>
        <w:rPr>
          <w:b/>
          <w:bCs/>
          <w:i/>
          <w:iCs/>
        </w:rPr>
        <w:t xml:space="preserve">Sensitivity analyses.</w:t>
      </w:r>
      <w:r>
        <w:t xml:space="preserve"> </w:t>
      </w:r>
      <w:r>
        <w:t xml:space="preserve">To assess the impact and adequacy of our sample selection and imputation procedure, we ran all analyses in the full cohort (</w:t>
      </w:r>
      <w:r>
        <w:rPr>
          <w:i/>
          <w:iCs/>
        </w:rPr>
        <w:t xml:space="preserve">n</w:t>
      </w:r>
      <w:r>
        <w:t xml:space="preserve">=9749) and in the subsample with complete outcome data (</w:t>
      </w:r>
      <w:r>
        <w:rPr>
          <w:i/>
          <w:iCs/>
        </w:rPr>
        <w:t xml:space="preserve">n</w:t>
      </w:r>
      <w:r>
        <w:t xml:space="preserve">=2054-2308).</w:t>
      </w:r>
    </w:p>
    <w:bookmarkEnd w:id="567"/>
    <w:bookmarkEnd w:id="568"/>
    <w:bookmarkStart w:id="585" w:name="results-3"/>
    <w:p>
      <w:pPr>
        <w:pStyle w:val="Heading2"/>
      </w:pPr>
      <w:r>
        <w:t xml:space="preserve">7.3 Results</w:t>
      </w:r>
    </w:p>
    <w:p>
      <w:pPr>
        <w:pStyle w:val="FirstParagraph"/>
      </w:pPr>
      <w:r>
        <w:t xml:space="preserve">Participants characteristics. Sample descriptives are displayed in</w:t>
      </w:r>
      <w:r>
        <w:t xml:space="preserve"> </w:t>
      </w:r>
      <w:hyperlink w:anchor="tbl-7.1">
        <w:r>
          <w:rPr>
            <w:rStyle w:val="Hyperlink"/>
          </w:rPr>
          <w:t xml:space="preserve">Table 7.1</w:t>
        </w:r>
      </w:hyperlink>
      <w:r>
        <w:t xml:space="preserve"> </w:t>
      </w:r>
      <w:r>
        <w:t xml:space="preserve">(see also</w:t>
      </w:r>
      <w:r>
        <w:t xml:space="preserve"> </w:t>
      </w:r>
      <w:hyperlink r:id="rId560">
        <w:r>
          <w:rPr>
            <w:rStyle w:val="Hyperlink"/>
          </w:rPr>
          <w:t xml:space="preserve">Tables S1-S2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9" w:name="tbl-7.1"/>
          <w:p>
            <w:pPr>
              <w:jc w:val="center"/>
            </w:pPr>
            <w:pPr>
              <w:jc w:val="start"/>
              <w:spacing w:before="200"/>
              <w:pStyle w:val="ImageCaption"/>
            </w:pPr>
            <w:r>
              <w:t xml:space="preserve">Table 7.1</w:t>
            </w:r>
          </w:p>
          <w:tbl>
            <w:tblPr>
              <w:tblStyle w:val="Table"/>
              <w:tblW w:type="auto" w:w="0"/>
              <w:tblLook w:firstRow="1" w:lastRow="1" w:firstColumn="0" w:lastColumn="0" w:noHBand="0" w:noVBand="0" w:val="0020"/>
            </w:tblPr>
            <w:tblGrid>
              <w:gridCol w:w="2640"/>
              <w:gridCol w:w="2640"/>
              <w:gridCol w:w="2640"/>
            </w:tblGrid>
            <w:tr>
              <w:trPr>
                <w:tblHeader w:val="on"/>
              </w:trPr>
              <w:tc>
                <w:tcPr>
                  <w:gridSpan w:val="3"/>
                </w:tcPr>
                <w:p>
                  <w:pPr>
                    <w:pStyle w:val="Compact"/>
                    <w:jc w:val="center"/>
                  </w:pPr>
                  <w:r>
                    <w:rPr>
                      <w:b/>
                      <w:bCs/>
                    </w:rPr>
                    <w:t xml:space="preserve">Sample descriptives</w:t>
                  </w:r>
                  <w:r>
                    <w:br/>
                  </w:r>
                  <w:r>
                    <w:t xml:space="preserve">Generation R (GenR)</w:t>
                  </w:r>
                </w:p>
              </w:tc>
            </w:tr>
            <w:tr>
              <w:tc>
                <w:tcPr/>
                <w:p>
                  <w:pPr>
                    <w:pStyle w:val="Compact"/>
                    <w:jc w:val="center"/>
                  </w:pPr>
                  <w:r>
                    <w:rPr>
                      <w:b/>
                      <w:bCs/>
                    </w:rPr>
                    <w:t xml:space="preserve">Measure</w:t>
                  </w:r>
                </w:p>
              </w:tc>
              <w:tc>
                <w:tcPr/>
                <w:p>
                  <w:pPr>
                    <w:pStyle w:val="Compact"/>
                    <w:jc w:val="center"/>
                  </w:pPr>
                  <w:r>
                    <w:rPr>
                      <w:b/>
                      <w:bCs/>
                    </w:rPr>
                    <w:t xml:space="preserve">Time point</w:t>
                  </w:r>
                </w:p>
              </w:tc>
              <w:tc>
                <w:tcPr/>
                <w:p>
                  <w:pPr>
                    <w:pStyle w:val="Compact"/>
                    <w:jc w:val="center"/>
                  </w:pPr>
                  <w:r>
                    <w:rPr>
                      <w:b/>
                      <w:bCs/>
                    </w:rPr>
                    <w:t xml:space="preserve">Descriptives</w:t>
                  </w:r>
                </w:p>
              </w:tc>
            </w:tr>
            <w:tr>
              <w:tc>
                <w:tcPr/>
                <w:p>
                  <w:pPr>
                    <w:pStyle w:val="Compact"/>
                    <w:jc w:val="center"/>
                  </w:pPr>
                  <w:r>
                    <w:t xml:space="preserve">Sex,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Male</w:t>
                  </w:r>
                </w:p>
              </w:tc>
              <w:tc>
                <w:tcPr/>
                <w:p>
                  <w:pPr>
                    <w:pStyle w:val="Compact"/>
                    <w:jc w:val="center"/>
                  </w:pPr>
                  <w:r>
                    <w:t xml:space="preserve"> </w:t>
                  </w:r>
                </w:p>
              </w:tc>
              <w:tc>
                <w:tcPr/>
                <w:p>
                  <w:pPr>
                    <w:pStyle w:val="Compact"/>
                    <w:jc w:val="center"/>
                  </w:pPr>
                  <w:r>
                    <w:t xml:space="preserve">2647 (49.6%)</w:t>
                  </w:r>
                </w:p>
              </w:tc>
            </w:tr>
            <w:tr>
              <w:tc>
                <w:tcPr/>
                <w:p>
                  <w:pPr>
                    <w:pStyle w:val="Compact"/>
                    <w:jc w:val="center"/>
                  </w:pPr>
                  <w:r>
                    <w:t xml:space="preserve">Female</w:t>
                  </w:r>
                </w:p>
              </w:tc>
              <w:tc>
                <w:tcPr/>
                <w:p>
                  <w:pPr>
                    <w:pStyle w:val="Compact"/>
                    <w:jc w:val="center"/>
                  </w:pPr>
                  <w:r>
                    <w:t xml:space="preserve"> </w:t>
                  </w:r>
                </w:p>
              </w:tc>
              <w:tc>
                <w:tcPr/>
                <w:p>
                  <w:pPr>
                    <w:pStyle w:val="Compact"/>
                    <w:jc w:val="center"/>
                  </w:pPr>
                  <w:r>
                    <w:t xml:space="preserve">2694 (50.4%)</w:t>
                  </w:r>
                </w:p>
              </w:tc>
            </w:tr>
            <w:tr>
              <w:tc>
                <w:tcPr/>
                <w:p>
                  <w:pPr>
                    <w:pStyle w:val="Compact"/>
                    <w:jc w:val="center"/>
                  </w:pPr>
                  <w:r>
                    <w:t xml:space="preserve">Ethnic background,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European</w:t>
                  </w:r>
                </w:p>
              </w:tc>
              <w:tc>
                <w:tcPr/>
                <w:p>
                  <w:pPr>
                    <w:pStyle w:val="Compact"/>
                    <w:jc w:val="center"/>
                  </w:pPr>
                  <w:r>
                    <w:t xml:space="preserve"> </w:t>
                  </w:r>
                </w:p>
              </w:tc>
              <w:tc>
                <w:tcPr/>
                <w:p>
                  <w:pPr>
                    <w:pStyle w:val="Compact"/>
                    <w:jc w:val="center"/>
                  </w:pPr>
                  <w:r>
                    <w:t xml:space="preserve">3448 (64.6%)</w:t>
                  </w:r>
                </w:p>
              </w:tc>
            </w:tr>
            <w:tr>
              <w:tc>
                <w:tcPr/>
                <w:p>
                  <w:pPr>
                    <w:pStyle w:val="Compact"/>
                    <w:jc w:val="center"/>
                  </w:pPr>
                  <w:r>
                    <w:t xml:space="preserve">Non-European</w:t>
                  </w:r>
                </w:p>
              </w:tc>
              <w:tc>
                <w:tcPr/>
                <w:p>
                  <w:pPr>
                    <w:pStyle w:val="Compact"/>
                    <w:jc w:val="center"/>
                  </w:pPr>
                  <w:r>
                    <w:t xml:space="preserve"> </w:t>
                  </w:r>
                </w:p>
              </w:tc>
              <w:tc>
                <w:tcPr/>
                <w:p>
                  <w:pPr>
                    <w:pStyle w:val="Compact"/>
                    <w:jc w:val="center"/>
                  </w:pPr>
                  <w:r>
                    <w:t xml:space="preserve">1893 (35.4%)</w:t>
                  </w:r>
                </w:p>
              </w:tc>
            </w:tr>
            <w:tr>
              <w:tc>
                <w:tcPr/>
                <w:p>
                  <w:pPr>
                    <w:pStyle w:val="Compact"/>
                    <w:jc w:val="center"/>
                  </w:pPr>
                  <w:r>
                    <w:t xml:space="preserve">Maternal age,</w:t>
                  </w:r>
                  <w:r>
                    <w:t xml:space="preserve"> </w:t>
                  </w:r>
                  <w:r>
                    <w:t xml:space="preserve">years, mean (SD)</w:t>
                  </w:r>
                </w:p>
              </w:tc>
              <w:tc>
                <w:tcPr/>
                <w:p>
                  <w:pPr>
                    <w:pStyle w:val="Compact"/>
                    <w:jc w:val="center"/>
                  </w:pPr>
                  <w:r>
                    <w:t xml:space="preserve">Birth</w:t>
                  </w:r>
                </w:p>
              </w:tc>
              <w:tc>
                <w:tcPr/>
                <w:p>
                  <w:pPr>
                    <w:pStyle w:val="Compact"/>
                    <w:jc w:val="center"/>
                  </w:pPr>
                  <w:r>
                    <w:t xml:space="preserve">30.9 (5.0)</w:t>
                  </w:r>
                </w:p>
              </w:tc>
            </w:tr>
            <w:tr>
              <w:tc>
                <w:tcPr/>
                <w:p>
                  <w:pPr>
                    <w:pStyle w:val="Compact"/>
                    <w:jc w:val="center"/>
                  </w:pPr>
                  <w:r>
                    <w:t xml:space="preserve">Maternal education</w:t>
                  </w:r>
                  <w:r>
                    <w:rPr>
                      <w:vertAlign w:val="superscript"/>
                    </w:rPr>
                    <w:t xml:space="preserve">a</w:t>
                  </w:r>
                  <w:r>
                    <w:t xml:space="preserve">, n (%)</w:t>
                  </w:r>
                </w:p>
              </w:tc>
              <w:tc>
                <w:tcPr/>
                <w:p>
                  <w:pPr>
                    <w:pStyle w:val="Compact"/>
                    <w:jc w:val="center"/>
                  </w:pPr>
                  <w:r>
                    <w:t xml:space="preserve">6y</w:t>
                  </w:r>
                </w:p>
              </w:tc>
              <w:tc>
                <w:tcPr/>
                <w:p>
                  <w:pPr>
                    <w:pStyle w:val="Compact"/>
                    <w:jc w:val="center"/>
                  </w:pPr>
                  <w:r>
                    <w:t xml:space="preserve"> </w:t>
                  </w:r>
                </w:p>
              </w:tc>
            </w:tr>
            <w:tr>
              <w:tc>
                <w:tcPr/>
                <w:p>
                  <w:pPr>
                    <w:pStyle w:val="Compact"/>
                    <w:jc w:val="center"/>
                  </w:pPr>
                  <w:r>
                    <w:t xml:space="preserve">Low</w:t>
                  </w:r>
                </w:p>
              </w:tc>
              <w:tc>
                <w:tcPr/>
                <w:p>
                  <w:pPr>
                    <w:pStyle w:val="Compact"/>
                    <w:jc w:val="center"/>
                  </w:pPr>
                  <w:r>
                    <w:t xml:space="preserve"> </w:t>
                  </w:r>
                </w:p>
              </w:tc>
              <w:tc>
                <w:tcPr/>
                <w:p>
                  <w:pPr>
                    <w:pStyle w:val="Compact"/>
                    <w:jc w:val="center"/>
                  </w:pPr>
                  <w:r>
                    <w:t xml:space="preserve">2447 (45.8%)</w:t>
                  </w:r>
                </w:p>
              </w:tc>
            </w:tr>
            <w:tr>
              <w:tc>
                <w:tcPr/>
                <w:p>
                  <w:pPr>
                    <w:pStyle w:val="Compact"/>
                    <w:jc w:val="center"/>
                  </w:pPr>
                  <w:r>
                    <w:t xml:space="preserve">Medium</w:t>
                  </w:r>
                </w:p>
              </w:tc>
              <w:tc>
                <w:tcPr/>
                <w:p>
                  <w:pPr>
                    <w:pStyle w:val="Compact"/>
                    <w:jc w:val="center"/>
                  </w:pPr>
                  <w:r>
                    <w:t xml:space="preserve"> </w:t>
                  </w:r>
                </w:p>
              </w:tc>
              <w:tc>
                <w:tcPr/>
                <w:p>
                  <w:pPr>
                    <w:pStyle w:val="Compact"/>
                    <w:jc w:val="center"/>
                  </w:pPr>
                  <w:r>
                    <w:t xml:space="preserve">1424 (26.7%)</w:t>
                  </w:r>
                </w:p>
              </w:tc>
            </w:tr>
            <w:tr>
              <w:tc>
                <w:tcPr/>
                <w:p>
                  <w:pPr>
                    <w:pStyle w:val="Compact"/>
                    <w:jc w:val="center"/>
                  </w:pPr>
                  <w:r>
                    <w:t xml:space="preserve">High</w:t>
                  </w:r>
                </w:p>
              </w:tc>
              <w:tc>
                <w:tcPr/>
                <w:p>
                  <w:pPr>
                    <w:pStyle w:val="Compact"/>
                    <w:jc w:val="center"/>
                  </w:pPr>
                  <w:r>
                    <w:t xml:space="preserve"> </w:t>
                  </w:r>
                </w:p>
              </w:tc>
              <w:tc>
                <w:tcPr/>
                <w:p>
                  <w:pPr>
                    <w:pStyle w:val="Compact"/>
                    <w:jc w:val="center"/>
                  </w:pPr>
                  <w:r>
                    <w:t xml:space="preserve">1470 (27.5%)</w:t>
                  </w:r>
                </w:p>
              </w:tc>
            </w:tr>
            <w:tr>
              <w:tc>
                <w:tcPr/>
                <w:p>
                  <w:pPr>
                    <w:pStyle w:val="Compact"/>
                    <w:jc w:val="center"/>
                  </w:pPr>
                  <w:r>
                    <w:t xml:space="preserve">Height,</w:t>
                  </w:r>
                  <w:r>
                    <w:t xml:space="preserve"> </w:t>
                  </w:r>
                  <w:r>
                    <w:t xml:space="preserve">cm, mean (SD)</w:t>
                  </w:r>
                </w:p>
              </w:tc>
              <w:tc>
                <w:tcPr/>
                <w:p>
                  <w:pPr>
                    <w:pStyle w:val="Compact"/>
                    <w:jc w:val="center"/>
                  </w:pPr>
                  <w:r>
                    <w:t xml:space="preserve">10y</w:t>
                  </w:r>
                </w:p>
              </w:tc>
              <w:tc>
                <w:tcPr/>
                <w:p>
                  <w:pPr>
                    <w:pStyle w:val="Compact"/>
                    <w:jc w:val="center"/>
                  </w:pPr>
                  <w:r>
                    <w:t xml:space="preserve">141.5 (6.7)</w:t>
                  </w:r>
                </w:p>
              </w:tc>
            </w:tr>
            <w:tr>
              <w:tc>
                <w:tcPr/>
                <w:p>
                  <w:pPr>
                    <w:pStyle w:val="Compact"/>
                    <w:jc w:val="center"/>
                  </w:pPr>
                  <w:r>
                    <w:t xml:space="preserve">Body mass index (BMI),</w:t>
                  </w:r>
                  <w:r>
                    <w:t xml:space="preserve"> </w:t>
                  </w:r>
                  <w:r>
                    <w:t xml:space="preserve">kg/m</w:t>
                  </w:r>
                  <w:r>
                    <w:rPr>
                      <w:vertAlign w:val="superscript"/>
                    </w:rPr>
                    <w:t xml:space="preserve">2</w:t>
                  </w:r>
                  <w:r>
                    <w:t xml:space="preserve">, median [range]</w:t>
                  </w:r>
                </w:p>
              </w:tc>
              <w:tc>
                <w:tcPr/>
                <w:p>
                  <w:pPr>
                    <w:pStyle w:val="Compact"/>
                    <w:jc w:val="center"/>
                  </w:pPr>
                  <w:r>
                    <w:t xml:space="preserve">10y</w:t>
                  </w:r>
                </w:p>
              </w:tc>
              <w:tc>
                <w:tcPr/>
                <w:p>
                  <w:pPr>
                    <w:pStyle w:val="Compact"/>
                    <w:jc w:val="center"/>
                  </w:pPr>
                  <w:r>
                    <w:t xml:space="preserve">17.01 [12.02-35.41]</w:t>
                  </w:r>
                </w:p>
              </w:tc>
            </w:tr>
            <w:tr>
              <w:tc>
                <w:tcPr/>
                <w:p>
                  <w:pPr>
                    <w:pStyle w:val="Compact"/>
                    <w:jc w:val="center"/>
                  </w:pPr>
                  <w:r>
                    <w:t xml:space="preserve">Carotid intima-media thickness (IMT),</w:t>
                  </w:r>
                  <w:r>
                    <w:t xml:space="preserve"> </w:t>
                  </w:r>
                  <w:r>
                    <w:t xml:space="preserve">mm, mean (SD)</w:t>
                  </w:r>
                </w:p>
              </w:tc>
              <w:tc>
                <w:tcPr/>
                <w:p>
                  <w:pPr>
                    <w:pStyle w:val="Compact"/>
                    <w:jc w:val="center"/>
                  </w:pPr>
                  <w:r>
                    <w:t xml:space="preserve">10y</w:t>
                  </w:r>
                </w:p>
              </w:tc>
              <w:tc>
                <w:tcPr/>
                <w:p>
                  <w:pPr>
                    <w:pStyle w:val="Compact"/>
                    <w:jc w:val="center"/>
                  </w:pPr>
                  <w:r>
                    <w:t xml:space="preserve">0.46 (0.04)</w:t>
                  </w:r>
                </w:p>
              </w:tc>
            </w:tr>
            <w:tr>
              <w:tc>
                <w:tcPr/>
                <w:p>
                  <w:pPr>
                    <w:pStyle w:val="Compact"/>
                    <w:jc w:val="center"/>
                  </w:pPr>
                  <w:r>
                    <w:t xml:space="preserve">Carotid distensibility,</w:t>
                  </w:r>
                  <w:r>
                    <w:t xml:space="preserve"> </w:t>
                  </w:r>
                  <w:r>
                    <w:t xml:space="preserve">kPa</w:t>
                  </w:r>
                  <w:r>
                    <w:rPr>
                      <w:vertAlign w:val="superscript"/>
                    </w:rPr>
                    <w:t xml:space="preserve">−1</w:t>
                  </w:r>
                  <w:r>
                    <w:t xml:space="preserve">×10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57.2 (12.4)</w:t>
                  </w:r>
                </w:p>
              </w:tc>
            </w:tr>
            <w:tr>
              <w:tc>
                <w:tcPr/>
                <w:p>
                  <w:pPr>
                    <w:pStyle w:val="Compact"/>
                    <w:jc w:val="center"/>
                  </w:pPr>
                  <w:r>
                    <w:t xml:space="preserve">Systolic blood pressure (SBP),</w:t>
                  </w:r>
                  <w:r>
                    <w:t xml:space="preserve"> </w:t>
                  </w:r>
                  <w:r>
                    <w:t xml:space="preserve">mm Hg, mean (SD)</w:t>
                  </w:r>
                </w:p>
              </w:tc>
              <w:tc>
                <w:tcPr/>
                <w:p>
                  <w:pPr>
                    <w:pStyle w:val="Compact"/>
                    <w:jc w:val="center"/>
                  </w:pPr>
                  <w:r>
                    <w:t xml:space="preserve">10y</w:t>
                  </w:r>
                </w:p>
              </w:tc>
              <w:tc>
                <w:tcPr/>
                <w:p>
                  <w:pPr>
                    <w:pStyle w:val="Compact"/>
                    <w:jc w:val="center"/>
                  </w:pPr>
                  <w:r>
                    <w:t xml:space="preserve">103 (8)</w:t>
                  </w:r>
                </w:p>
              </w:tc>
            </w:tr>
            <w:tr>
              <w:tc>
                <w:tcPr/>
                <w:p>
                  <w:pPr>
                    <w:pStyle w:val="Compact"/>
                    <w:jc w:val="center"/>
                  </w:pPr>
                  <w:r>
                    <w:t xml:space="preserve">Diastolic blood pressure (DBP),</w:t>
                  </w:r>
                  <w:r>
                    <w:t xml:space="preserve"> </w:t>
                  </w:r>
                  <w:r>
                    <w:t xml:space="preserve">mm Hg, mean (SD)</w:t>
                  </w:r>
                </w:p>
              </w:tc>
              <w:tc>
                <w:tcPr/>
                <w:p>
                  <w:pPr>
                    <w:pStyle w:val="Compact"/>
                    <w:jc w:val="center"/>
                  </w:pPr>
                  <w:r>
                    <w:t xml:space="preserve">10y</w:t>
                  </w:r>
                </w:p>
              </w:tc>
              <w:tc>
                <w:tcPr/>
                <w:p>
                  <w:pPr>
                    <w:pStyle w:val="Compact"/>
                    <w:jc w:val="center"/>
                  </w:pPr>
                  <w:r>
                    <w:t xml:space="preserve">59 (6)</w:t>
                  </w:r>
                </w:p>
              </w:tc>
            </w:tr>
            <w:tr>
              <w:tc>
                <w:tcPr>
                  <w:vMerge w:val="restart"/>
                </w:tcPr>
                <w:p>
                  <w:pPr>
                    <w:pStyle w:val="Compact"/>
                    <w:jc w:val="center"/>
                  </w:pPr>
                  <w:r>
                    <w:t xml:space="preserve">Age (at MRI visit),</w:t>
                  </w:r>
                  <w:r>
                    <w:t xml:space="preserve"> </w:t>
                  </w:r>
                  <w:r>
                    <w:t xml:space="preserve">years, median [range]</w:t>
                  </w:r>
                </w:p>
              </w:tc>
              <w:tc>
                <w:tcPr/>
                <w:p>
                  <w:pPr>
                    <w:pStyle w:val="Compact"/>
                    <w:jc w:val="center"/>
                  </w:pPr>
                  <w:r>
                    <w:t xml:space="preserve">10y</w:t>
                  </w:r>
                </w:p>
              </w:tc>
              <w:tc>
                <w:tcPr/>
                <w:p>
                  <w:pPr>
                    <w:pStyle w:val="Compact"/>
                    <w:jc w:val="center"/>
                  </w:pPr>
                  <w:r>
                    <w:t xml:space="preserve">9.98 [8.55-13.00]</w:t>
                  </w:r>
                </w:p>
              </w:tc>
            </w:tr>
            <w:tr>
              <w:tc>
                <w:tcPr>
                  <w:gridSpan w:val="1"/>
                  <w:vMerge w:val="continue"/>
                </w:tcPr>
                <w:p>
                  <w:pPr/>
                </w:p>
              </w:tc>
              <w:tc>
                <w:tcPr/>
                <w:p>
                  <w:pPr>
                    <w:pStyle w:val="Compact"/>
                    <w:jc w:val="center"/>
                  </w:pPr>
                  <w:r>
                    <w:t xml:space="preserve">14y</w:t>
                  </w:r>
                </w:p>
              </w:tc>
              <w:tc>
                <w:tcPr/>
                <w:p>
                  <w:pPr>
                    <w:pStyle w:val="Compact"/>
                    <w:jc w:val="center"/>
                  </w:pPr>
                  <w:r>
                    <w:t xml:space="preserve">13.82 [12.59-16.68]</w:t>
                  </w:r>
                </w:p>
              </w:tc>
            </w:tr>
            <w:tr>
              <w:tc>
                <w:tcPr>
                  <w:vMerge w:val="restart"/>
                </w:tcPr>
                <w:p>
                  <w:pPr>
                    <w:pStyle w:val="Compact"/>
                    <w:jc w:val="center"/>
                  </w:pPr>
                  <w:r>
                    <w:t xml:space="preserve">Total brain volume (TBV),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1196.8 (97.5)</w:t>
                  </w:r>
                </w:p>
              </w:tc>
            </w:tr>
            <w:tr>
              <w:tc>
                <w:tcPr>
                  <w:gridSpan w:val="1"/>
                  <w:vMerge w:val="continue"/>
                </w:tcPr>
                <w:p>
                  <w:pPr/>
                </w:p>
              </w:tc>
              <w:tc>
                <w:tcPr/>
                <w:p>
                  <w:pPr>
                    <w:pStyle w:val="Compact"/>
                    <w:jc w:val="center"/>
                  </w:pPr>
                  <w:r>
                    <w:t xml:space="preserve">14y</w:t>
                  </w:r>
                </w:p>
              </w:tc>
              <w:tc>
                <w:tcPr/>
                <w:p>
                  <w:pPr>
                    <w:pStyle w:val="Compact"/>
                    <w:jc w:val="center"/>
                  </w:pPr>
                  <w:r>
                    <w:t xml:space="preserve">1223.8 (95.5)</w:t>
                  </w:r>
                </w:p>
              </w:tc>
            </w:tr>
            <w:tr>
              <w:tc>
                <w:tcPr>
                  <w:vMerge w:val="restart"/>
                </w:tcPr>
                <w:p>
                  <w:pPr>
                    <w:pStyle w:val="Compact"/>
                    <w:jc w:val="center"/>
                  </w:pPr>
                  <w:r>
                    <w:t xml:space="preserve">Grey matter volume (GMV),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750.7 (58.6)</w:t>
                  </w:r>
                </w:p>
              </w:tc>
            </w:tr>
            <w:tr>
              <w:tc>
                <w:tcPr>
                  <w:gridSpan w:val="1"/>
                  <w:vMerge w:val="continue"/>
                </w:tcPr>
                <w:p>
                  <w:pPr/>
                </w:p>
              </w:tc>
              <w:tc>
                <w:tcPr/>
                <w:p>
                  <w:pPr>
                    <w:pStyle w:val="Compact"/>
                    <w:jc w:val="center"/>
                  </w:pPr>
                  <w:r>
                    <w:t xml:space="preserve">14y</w:t>
                  </w:r>
                </w:p>
              </w:tc>
              <w:tc>
                <w:tcPr/>
                <w:p>
                  <w:pPr>
                    <w:pStyle w:val="Compact"/>
                    <w:jc w:val="center"/>
                  </w:pPr>
                  <w:r>
                    <w:t xml:space="preserve">748.5 (56.3)</w:t>
                  </w:r>
                </w:p>
              </w:tc>
            </w:tr>
            <w:tr>
              <w:tc>
                <w:tcPr>
                  <w:vMerge w:val="restart"/>
                </w:tcPr>
                <w:p>
                  <w:pPr>
                    <w:pStyle w:val="Compact"/>
                    <w:jc w:val="center"/>
                  </w:pPr>
                  <w:r>
                    <w:t xml:space="preserve">Global fractional anisotropy (FA),</w:t>
                  </w:r>
                  <w:r>
                    <w:t xml:space="preserve"> </w:t>
                  </w:r>
                  <w:r>
                    <w:t xml:space="preserve">mean (SD)</w:t>
                  </w:r>
                </w:p>
              </w:tc>
              <w:tc>
                <w:tcPr/>
                <w:p>
                  <w:pPr>
                    <w:pStyle w:val="Compact"/>
                    <w:jc w:val="center"/>
                  </w:pPr>
                  <w:r>
                    <w:t xml:space="preserve">10y</w:t>
                  </w:r>
                </w:p>
              </w:tc>
              <w:tc>
                <w:tcPr/>
                <w:p>
                  <w:pPr>
                    <w:pStyle w:val="Compact"/>
                    <w:jc w:val="center"/>
                  </w:pPr>
                  <w:r>
                    <w:t xml:space="preserve">0.54 (0.02)</w:t>
                  </w:r>
                </w:p>
              </w:tc>
            </w:tr>
            <w:tr>
              <w:tc>
                <w:tcPr>
                  <w:gridSpan w:val="1"/>
                  <w:vMerge w:val="continue"/>
                </w:tcPr>
                <w:p>
                  <w:pPr/>
                </w:p>
              </w:tc>
              <w:tc>
                <w:tcPr/>
                <w:p>
                  <w:pPr>
                    <w:pStyle w:val="Compact"/>
                    <w:jc w:val="center"/>
                  </w:pPr>
                  <w:r>
                    <w:t xml:space="preserve">14y</w:t>
                  </w:r>
                </w:p>
              </w:tc>
              <w:tc>
                <w:tcPr/>
                <w:p>
                  <w:pPr>
                    <w:pStyle w:val="Compact"/>
                    <w:jc w:val="center"/>
                  </w:pPr>
                  <w:r>
                    <w:t xml:space="preserve">0.55 (0.01)</w:t>
                  </w:r>
                </w:p>
              </w:tc>
            </w:tr>
            <w:tr>
              <w:tc>
                <w:tcPr>
                  <w:vMerge w:val="restart"/>
                </w:tcPr>
                <w:p>
                  <w:pPr>
                    <w:pStyle w:val="Compact"/>
                    <w:jc w:val="center"/>
                  </w:pPr>
                  <w:r>
                    <w:t xml:space="preserve">Global mean diffusivity (MD),</w:t>
                  </w:r>
                  <w:r>
                    <w:t xml:space="preserve"> </w:t>
                  </w:r>
                  <w:r>
                    <w:t xml:space="preserve">mm</w:t>
                  </w:r>
                  <w:r>
                    <w:rPr>
                      <w:vertAlign w:val="superscript"/>
                    </w:rPr>
                    <w:t xml:space="preserve">2</w:t>
                  </w:r>
                  <w:r>
                    <w:t xml:space="preserve">/sec × 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0.82 (0.02)</w:t>
                  </w:r>
                </w:p>
              </w:tc>
            </w:tr>
            <w:tr>
              <w:tc>
                <w:tcPr>
                  <w:gridSpan w:val="1"/>
                  <w:vMerge w:val="continue"/>
                </w:tcPr>
                <w:p>
                  <w:pPr/>
                </w:p>
              </w:tc>
              <w:tc>
                <w:tcPr/>
                <w:p>
                  <w:pPr>
                    <w:pStyle w:val="Compact"/>
                    <w:jc w:val="center"/>
                  </w:pPr>
                  <w:r>
                    <w:t xml:space="preserve">14y</w:t>
                  </w:r>
                </w:p>
              </w:tc>
              <w:tc>
                <w:tcPr/>
                <w:p>
                  <w:pPr>
                    <w:pStyle w:val="Compact"/>
                    <w:jc w:val="center"/>
                  </w:pPr>
                  <w:r>
                    <w:t xml:space="preserve">0.80 (0.02)</w:t>
                  </w:r>
                </w:p>
              </w:tc>
            </w:tr>
            <w:tr>
              <w:tc>
                <w:tcPr>
                  <w:gridSpan w:val="3"/>
                </w:tcPr>
                <w:p>
                  <w:pPr>
                    <w:pStyle w:val="Compact"/>
                    <w:jc w:val="center"/>
                  </w:pPr>
                  <w:r>
                    <w:t xml:space="preserve"> </w:t>
                  </w:r>
                  <w:r>
                    <w:rPr>
                      <w:vertAlign w:val="superscript"/>
                    </w:rPr>
                    <w:t xml:space="preserve">a</w:t>
                  </w:r>
                  <w:r>
                    <w:t xml:space="preserve">Maternal education: low = “secondary, phase 2” or lower; medium = “higher, phase 1”; high = “higher, phase 2”. Categorization based on ISCED 2011.</w:t>
                  </w:r>
                </w:p>
              </w:tc>
            </w:tr>
          </w:tbl>
          <w:bookmarkEnd w:id="569"/>
          <w:p/>
        </w:tc>
      </w:tr>
    </w:tbl>
    <w:bookmarkStart w:id="578" w:name="main-analyses-3"/>
    <w:p>
      <w:pPr>
        <w:pStyle w:val="Heading3"/>
      </w:pPr>
      <w:r>
        <w:t xml:space="preserve">Main analyses</w:t>
      </w:r>
    </w:p>
    <w:p>
      <w:pPr>
        <w:pStyle w:val="FirstParagraph"/>
      </w:pPr>
      <w:r>
        <w:t xml:space="preserve">An overview of the main results is presented in</w:t>
      </w:r>
      <w:r>
        <w:t xml:space="preserve"> </w:t>
      </w:r>
      <w:hyperlink w:anchor="fig-7.1">
        <w:r>
          <w:rPr>
            <w:rStyle w:val="Hyperlink"/>
          </w:rPr>
          <w:t xml:space="preserve">Figure 7.1</w:t>
        </w:r>
      </w:hyperlink>
      <w:r>
        <w:t xml:space="preserve">. Complete model outputs are reported in supplementary materials (</w:t>
      </w:r>
      <w:hyperlink r:id="rId560">
        <w:r>
          <w:rPr>
            <w:rStyle w:val="Hyperlink"/>
          </w:rPr>
          <w:t xml:space="preserve">Table S3</w:t>
        </w:r>
      </w:hyperlink>
      <w:r>
        <w:t xml:space="preserve">). Neither carotid IMT nor distensibility were significantly associated with any brain outcome (</w:t>
      </w:r>
      <w:hyperlink w:anchor="fig-7.1">
        <w:r>
          <w:rPr>
            <w:rStyle w:val="Hyperlink"/>
          </w:rPr>
          <w:t xml:space="preserve">Figure 7.1</w:t>
        </w:r>
      </w:hyperlink>
      <w:r>
        <w:t xml:space="preserve"> </w:t>
      </w:r>
      <w:r>
        <w:t xml:space="preserve">A-B,</w:t>
      </w:r>
      <w:r>
        <w:t xml:space="preserve"> </w:t>
      </w:r>
      <w:hyperlink r:id="rId560">
        <w:r>
          <w:rPr>
            <w:rStyle w:val="Hyperlink"/>
          </w:rPr>
          <w:t xml:space="preserve">Table S3</w:t>
        </w:r>
      </w:hyperlink>
      <w:r>
        <w:t xml:space="preserve">). After adjustment for potential confounders, SBP was (cross-sectionally) associated with lower TBV (β [95%CI] = -0.04 [-0.07;-0.01], P</w:t>
      </w:r>
      <w:r>
        <w:rPr>
          <w:i/>
          <w:iCs/>
          <w:vertAlign w:val="subscript"/>
        </w:rPr>
        <w:t xml:space="preserve">FDR</w:t>
      </w:r>
      <w:r>
        <w:t xml:space="preserve"> </w:t>
      </w:r>
      <w:r>
        <w:t xml:space="preserve">= .030) and GMV (β [95%CI] = -0.05 [-0.08;-0.01], P</w:t>
      </w:r>
      <w:r>
        <w:rPr>
          <w:i/>
          <w:iCs/>
          <w:vertAlign w:val="subscript"/>
        </w:rPr>
        <w:t xml:space="preserve">FDR</w:t>
      </w:r>
      <w:r>
        <w:t xml:space="preserve"> </w:t>
      </w:r>
      <w:r>
        <w:t xml:space="preserve">= .030) but not with either FA or MD (</w:t>
      </w:r>
      <w:hyperlink w:anchor="fig-7.1">
        <w:r>
          <w:rPr>
            <w:rStyle w:val="Hyperlink"/>
          </w:rPr>
          <w:t xml:space="preserve">Figure 7.1</w:t>
        </w:r>
      </w:hyperlink>
      <w:r>
        <w:t xml:space="preserve"> </w:t>
      </w:r>
      <w:r>
        <w:t xml:space="preserve">C,</w:t>
      </w:r>
      <w:r>
        <w:t xml:space="preserve"> </w:t>
      </w:r>
      <w:hyperlink r:id="rId560">
        <w:r>
          <w:rPr>
            <w:rStyle w:val="Hyperlink"/>
          </w:rPr>
          <w:t xml:space="preserve">Table S3</w:t>
        </w:r>
      </w:hyperlink>
      <w:r>
        <w:t xml:space="preserve">). Analogously, DBP was (cross-sectionally) associated with TBV (β [95%CI] = -0.04 [-0.07;-0.01], P</w:t>
      </w:r>
      <w:r>
        <w:rPr>
          <w:i/>
          <w:iCs/>
          <w:vertAlign w:val="subscript"/>
        </w:rPr>
        <w:t xml:space="preserve">FDR</w:t>
      </w:r>
      <w:r>
        <w:t xml:space="preserve"> </w:t>
      </w:r>
      <w:r>
        <w:t xml:space="preserve">= .022) and GMV (β [95%CI] = -0.04 [-0.07;-0.01], P</w:t>
      </w:r>
      <w:r>
        <w:rPr>
          <w:i/>
          <w:iCs/>
          <w:vertAlign w:val="subscript"/>
        </w:rPr>
        <w:t xml:space="preserve">FDR</w:t>
      </w:r>
      <w:r>
        <w:t xml:space="preserve"> </w:t>
      </w:r>
      <w:r>
        <w:t xml:space="preserve">= .022), but not FA or MD (</w:t>
      </w:r>
      <w:hyperlink w:anchor="fig-7.1">
        <w:r>
          <w:rPr>
            <w:rStyle w:val="Hyperlink"/>
          </w:rPr>
          <w:t xml:space="preserve">Figure 7.1</w:t>
        </w:r>
      </w:hyperlink>
      <w:r>
        <w:t xml:space="preserve"> </w:t>
      </w:r>
      <w:r>
        <w:t xml:space="preserve">D,</w:t>
      </w:r>
      <w:r>
        <w:t xml:space="preserve"> </w:t>
      </w:r>
      <w:hyperlink r:id="rId560">
        <w:r>
          <w:rPr>
            <w:rStyle w:val="Hyperlink"/>
          </w:rPr>
          <w:t xml:space="preserve">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3" w:name="fig-7.1"/>
          <w:p>
            <w:pPr>
              <w:pStyle w:val="Compact"/>
              <w:jc w:val="center"/>
            </w:pPr>
            <w:r>
              <w:drawing>
                <wp:inline>
                  <wp:extent cx="5943600" cy="3539270"/>
                  <wp:effectExtent b="0" l="0" r="0" t="0"/>
                  <wp:docPr descr="" title="" id="571" name="Picture"/>
                  <a:graphic>
                    <a:graphicData uri="http://schemas.openxmlformats.org/drawingml/2006/picture">
                      <pic:pic>
                        <pic:nvPicPr>
                          <pic:cNvPr descr="7.Chapter/Figures/F1_lineares.png" id="572" name="Picture"/>
                          <pic:cNvPicPr>
                            <a:picLocks noChangeArrowheads="1" noChangeAspect="1"/>
                          </pic:cNvPicPr>
                        </pic:nvPicPr>
                        <pic:blipFill>
                          <a:blip r:embed="rId570"/>
                          <a:stretch>
                            <a:fillRect/>
                          </a:stretch>
                        </pic:blipFill>
                        <pic:spPr bwMode="auto">
                          <a:xfrm>
                            <a:off x="0" y="0"/>
                            <a:ext cx="5943600" cy="3539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w:t>
            </w:r>
            <w:r>
              <w:t xml:space="preserve"> </w:t>
            </w:r>
            <w:r>
              <w:rPr>
                <w:b/>
                <w:bCs/>
              </w:rPr>
              <w:t xml:space="preserve">Arterial thickness, stiffness and blood pressure and brain morphology at 14 years.</w:t>
            </w:r>
            <w:r>
              <w:t xml:space="preserve">(A-D) For each exposure of interest:</w:t>
            </w:r>
            <w:r>
              <w:t xml:space="preserve"> </w:t>
            </w:r>
            <w:r>
              <w:rPr>
                <w:b/>
                <w:bCs/>
              </w:rPr>
              <w:t xml:space="preserve">A.</w:t>
            </w:r>
            <w:r>
              <w:t xml:space="preserve"> </w:t>
            </w:r>
            <w:r>
              <w:t xml:space="preserve">intima-media thickness (IMT);</w:t>
            </w:r>
            <w:r>
              <w:t xml:space="preserve"> </w:t>
            </w:r>
            <w:r>
              <w:rPr>
                <w:b/>
                <w:bCs/>
              </w:rPr>
              <w:t xml:space="preserve">B.</w:t>
            </w:r>
            <w:r>
              <w:t xml:space="preserve"> </w:t>
            </w:r>
            <w:r>
              <w:t xml:space="preserve">carotid distensibility;</w:t>
            </w:r>
            <w:r>
              <w:t xml:space="preserve"> </w:t>
            </w:r>
            <w:r>
              <w:rPr>
                <w:b/>
                <w:bCs/>
              </w:rPr>
              <w:t xml:space="preserve">C.</w:t>
            </w:r>
            <w:r>
              <w:t xml:space="preserve"> </w:t>
            </w:r>
            <w:r>
              <w:t xml:space="preserve">Systolic blood pressure (SBP); and</w:t>
            </w:r>
            <w:r>
              <w:t xml:space="preserve"> </w:t>
            </w:r>
            <w:r>
              <w:rPr>
                <w:b/>
                <w:bCs/>
              </w:rPr>
              <w:t xml:space="preserve">D.</w:t>
            </w:r>
            <w:r>
              <w:t xml:space="preserve"> </w:t>
            </w:r>
            <w:r>
              <w:t xml:space="preserve">Diastolic blood pressure (DBP), the standardized association estimates and their 95% confidence intervals are displayed on the x-axis for each outcome (total brain volume (TBV) in blue; grey matter volume (GMV) in grey; global fractional anisotropy (FA) in red; and mean diffusivity (MD) in orange). The corresponding FDR-corrected P-values are also reported.</w:t>
            </w:r>
          </w:p>
          <w:bookmarkEnd w:id="573"/>
        </w:tc>
      </w:tr>
    </w:tbl>
    <w:p>
      <w:pPr>
        <w:pStyle w:val="BodyText"/>
      </w:pPr>
      <w:r>
        <w:t xml:space="preserve">We found evidence of a non-linear relationship between SBP and white matter microstructure (P=.032 for FA; P=.023 for MD) and between DBP and brain volumes (P=.012 for TBV; P=.006 for GMV). However, these departures from linearity were small, as shown in</w:t>
      </w:r>
      <w:r>
        <w:t xml:space="preserve"> </w:t>
      </w:r>
      <w:hyperlink w:anchor="fig-7.2">
        <w:r>
          <w:rPr>
            <w:rStyle w:val="Hyperlink"/>
          </w:rPr>
          <w:t xml:space="preserve">Figure 7.2</w:t>
        </w:r>
      </w:hyperlink>
      <w:r>
        <w:t xml:space="preserve"> </w:t>
      </w:r>
      <w:r>
        <w:t xml:space="preserve">and</w:t>
      </w:r>
      <w:r>
        <w:t xml:space="preserve"> </w:t>
      </w:r>
      <w:hyperlink r:id="rId560">
        <w:r>
          <w:rPr>
            <w:rStyle w:val="Hyperlink"/>
          </w:rPr>
          <w:t xml:space="preserve">Figure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7" w:name="fig-7.2"/>
          <w:p>
            <w:pPr>
              <w:pStyle w:val="Compact"/>
              <w:jc w:val="center"/>
            </w:pPr>
            <w:r>
              <w:drawing>
                <wp:inline>
                  <wp:extent cx="5943600" cy="5940109"/>
                  <wp:effectExtent b="0" l="0" r="0" t="0"/>
                  <wp:docPr descr="" title="" id="575" name="Picture"/>
                  <a:graphic>
                    <a:graphicData uri="http://schemas.openxmlformats.org/drawingml/2006/picture">
                      <pic:pic>
                        <pic:nvPicPr>
                          <pic:cNvPr descr="7.Chapter/Figures/F2_nonlinres.png" id="576" name="Picture"/>
                          <pic:cNvPicPr>
                            <a:picLocks noChangeArrowheads="1" noChangeAspect="1"/>
                          </pic:cNvPicPr>
                        </pic:nvPicPr>
                        <pic:blipFill>
                          <a:blip r:embed="rId574"/>
                          <a:stretch>
                            <a:fillRect/>
                          </a:stretch>
                        </pic:blipFill>
                        <pic:spPr bwMode="auto">
                          <a:xfrm>
                            <a:off x="0" y="0"/>
                            <a:ext cx="5943600" cy="5940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w:t>
            </w:r>
            <w:r>
              <w:t xml:space="preserve"> </w:t>
            </w:r>
            <w:r>
              <w:rPr>
                <w:b/>
                <w:bCs/>
              </w:rPr>
              <w:t xml:space="preserve">Non-linear relationships between blood pressure and brain morphology at 14 years.</w:t>
            </w:r>
            <w:r>
              <w:t xml:space="preserve">(A-D) The linear and non-linear relationship between SBP and</w:t>
            </w:r>
            <w:r>
              <w:t xml:space="preserve"> </w:t>
            </w:r>
            <w:r>
              <w:rPr>
                <w:b/>
                <w:bCs/>
              </w:rPr>
              <w:t xml:space="preserve">A.</w:t>
            </w:r>
            <w:r>
              <w:t xml:space="preserve"> </w:t>
            </w:r>
            <w:r>
              <w:t xml:space="preserve">FA; and</w:t>
            </w:r>
            <w:r>
              <w:t xml:space="preserve"> </w:t>
            </w:r>
            <w:r>
              <w:rPr>
                <w:b/>
                <w:bCs/>
              </w:rPr>
              <w:t xml:space="preserve">C.</w:t>
            </w:r>
            <w:r>
              <w:t xml:space="preserve"> </w:t>
            </w:r>
            <w:r>
              <w:t xml:space="preserve">MD; and between DBP and</w:t>
            </w:r>
            <w:r>
              <w:t xml:space="preserve"> </w:t>
            </w:r>
            <w:r>
              <w:rPr>
                <w:b/>
                <w:bCs/>
              </w:rPr>
              <w:t xml:space="preserve">B.</w:t>
            </w:r>
            <w:r>
              <w:t xml:space="preserve"> </w:t>
            </w:r>
            <w:r>
              <w:t xml:space="preserve">TBV; and</w:t>
            </w:r>
            <w:r>
              <w:t xml:space="preserve"> </w:t>
            </w:r>
            <w:r>
              <w:rPr>
                <w:b/>
                <w:bCs/>
              </w:rPr>
              <w:t xml:space="preserve">D.</w:t>
            </w:r>
            <w:r>
              <w:t xml:space="preserve"> </w:t>
            </w:r>
            <w:r>
              <w:t xml:space="preserve">GMV. Linear associations (black dashed line) were pooled across datasets (and correspond to the estimates presented in Figure 1), while non-linear associations (green continuous lines) were fit in each imputed dataset individually using natural splines with 4 knots. The gray vertical shadows also mark the –2.5 and +2.5 SD cutoffs of each exposure distribution.</w:t>
            </w:r>
          </w:p>
          <w:bookmarkEnd w:id="577"/>
        </w:tc>
      </w:tr>
    </w:tbl>
    <w:bookmarkEnd w:id="578"/>
    <w:bookmarkStart w:id="583" w:name="exploratory-follow-up-analyses"/>
    <w:p>
      <w:pPr>
        <w:pStyle w:val="Heading3"/>
      </w:pPr>
      <w:r>
        <w:t xml:space="preserve">Exploratory follow-up analyses</w:t>
      </w:r>
    </w:p>
    <w:p>
      <w:pPr>
        <w:pStyle w:val="FirstParagraph"/>
      </w:pPr>
      <w:r>
        <w:t xml:space="preserve">In our exploratory longitudinal models, we did not find any significant interaction between arterial health markers and age at MRI measurement (</w:t>
      </w:r>
      <w:hyperlink r:id="rId560">
        <w:r>
          <w:rPr>
            <w:rStyle w:val="Hyperlink"/>
          </w:rPr>
          <w:t xml:space="preserve">Table S4</w:t>
        </w:r>
      </w:hyperlink>
      <w:r>
        <w:t xml:space="preserve">; Figure 3). However, when interaction terms were excluded from the models, we could further confirm a negative main effect of SBP and DBP on total brain and grey matter volumes measured at 10 and 14 years (</w:t>
      </w:r>
      <w:hyperlink r:id="rId560">
        <w:r>
          <w:rPr>
            <w:rStyle w:val="Hyperlink"/>
          </w:rPr>
          <w:t xml:space="preserve">Table S5</w:t>
        </w:r>
      </w:hyperlink>
      <w:r>
        <w:t xml:space="preserve">). Specifically, while TBV increased with age (</w:t>
      </w:r>
      <w:r>
        <w:rPr>
          <w:i/>
          <w:iCs/>
        </w:rPr>
        <w:t xml:space="preserve">b</w:t>
      </w:r>
      <w:r>
        <w:t xml:space="preserve"> </w:t>
      </w:r>
      <w:r>
        <w:t xml:space="preserve">[95%CI] = 7.0 [6.4; 7.7] cm</w:t>
      </w:r>
      <w:r>
        <w:rPr>
          <w:vertAlign w:val="superscript"/>
        </w:rPr>
        <w:t xml:space="preserve">3</w:t>
      </w:r>
      <w:r>
        <w:t xml:space="preserve"> </w:t>
      </w:r>
      <w:r>
        <w:t xml:space="preserve">per year) each SD increase in SBP was associated with -3.6 [-6.4; -0.8] cm</w:t>
      </w:r>
      <w:r>
        <w:rPr>
          <w:vertAlign w:val="superscript"/>
        </w:rPr>
        <w:t xml:space="preserve">3</w:t>
      </w:r>
      <w:r>
        <w:t xml:space="preserve"> </w:t>
      </w:r>
      <w:r>
        <w:t xml:space="preserve">(P</w:t>
      </w:r>
      <w:r>
        <w:rPr>
          <w:i/>
          <w:iCs/>
          <w:vertAlign w:val="subscript"/>
        </w:rPr>
        <w:t xml:space="preserve">FDR</w:t>
      </w:r>
      <w:r>
        <w:t xml:space="preserve"> </w:t>
      </w:r>
      <w:r>
        <w:t xml:space="preserve">=.048) and each SD increase in DBP was associated with -3.4 [-6.1; -0.7] cm</w:t>
      </w:r>
      <w:r>
        <w:rPr>
          <w:vertAlign w:val="superscript"/>
        </w:rPr>
        <w:t xml:space="preserve">3</w:t>
      </w:r>
      <w:r>
        <w:t xml:space="preserve"> </w:t>
      </w:r>
      <w:r>
        <w:t xml:space="preserve">(P</w:t>
      </w:r>
      <w:r>
        <w:rPr>
          <w:i/>
          <w:iCs/>
          <w:vertAlign w:val="subscript"/>
        </w:rPr>
        <w:t xml:space="preserve">FDR</w:t>
      </w:r>
      <w:r>
        <w:t xml:space="preserve"> </w:t>
      </w:r>
      <w:r>
        <w:t xml:space="preserve">=.040) TBV. Conversely, GMV showed a slight decline over our age range (</w:t>
      </w:r>
      <w:r>
        <w:rPr>
          <w:i/>
          <w:iCs/>
        </w:rPr>
        <w:t xml:space="preserve">b</w:t>
      </w:r>
      <w:r>
        <w:t xml:space="preserve"> </w:t>
      </w:r>
      <w:r>
        <w:t xml:space="preserve">[95%CI] = -0.6 [-1.0; -0.2] cm</w:t>
      </w:r>
      <w:r>
        <w:rPr>
          <w:vertAlign w:val="superscript"/>
        </w:rPr>
        <w:t xml:space="preserve">3</w:t>
      </w:r>
      <w:r>
        <w:t xml:space="preserve"> </w:t>
      </w:r>
      <w:r>
        <w:t xml:space="preserve">per year) while each SD increase in SBP was associated with -2.4 [-4.1; -0.7] cm</w:t>
      </w:r>
      <w:r>
        <w:rPr>
          <w:vertAlign w:val="superscript"/>
        </w:rPr>
        <w:t xml:space="preserve">3</w:t>
      </w:r>
      <w:r>
        <w:t xml:space="preserve"> </w:t>
      </w:r>
      <w:r>
        <w:t xml:space="preserve">(P</w:t>
      </w:r>
      <w:r>
        <w:rPr>
          <w:i/>
          <w:iCs/>
          <w:vertAlign w:val="subscript"/>
        </w:rPr>
        <w:t xml:space="preserve">FDR</w:t>
      </w:r>
      <w:r>
        <w:t xml:space="preserve"> </w:t>
      </w:r>
      <w:r>
        <w:t xml:space="preserve">=.042) and each SD increase in DBP was associated with -2.2 [-3.8; -0.6] cm</w:t>
      </w:r>
      <w:r>
        <w:rPr>
          <w:vertAlign w:val="superscript"/>
        </w:rPr>
        <w:t xml:space="preserve">3</w:t>
      </w:r>
      <w:r>
        <w:t xml:space="preserve"> </w:t>
      </w:r>
      <w:r>
        <w:t xml:space="preserve">(P</w:t>
      </w:r>
      <w:r>
        <w:rPr>
          <w:i/>
          <w:iCs/>
          <w:vertAlign w:val="subscript"/>
        </w:rPr>
        <w:t xml:space="preserve">FDR</w:t>
      </w:r>
      <w:r>
        <w:t xml:space="preserve"> </w:t>
      </w:r>
      <w:r>
        <w:t xml:space="preserve">=.039) GMV.</w:t>
      </w:r>
    </w:p>
    <w:tbl>
      <w:tblPr>
        <w:tblStyle w:val="Table"/>
        <w:tblW w:type="pct" w:w="5000"/>
        <w:tblLayout w:type="fixed"/>
        <w:tblLook w:firstRow="0" w:lastRow="0" w:firstColumn="0" w:lastColumn="0" w:noHBand="0" w:noVBand="0" w:val="0000"/>
      </w:tblPr>
      <w:tblGrid>
        <w:gridCol w:w="7920"/>
      </w:tblGrid>
      <w:tr>
        <w:tc>
          <w:tcPr/>
          <w:bookmarkStart w:id="582" w:name="fig-7.3"/>
          <w:p>
            <w:pPr>
              <w:pStyle w:val="Compact"/>
              <w:jc w:val="center"/>
            </w:pPr>
            <w:r>
              <w:drawing>
                <wp:inline>
                  <wp:extent cx="5943600" cy="6116460"/>
                  <wp:effectExtent b="0" l="0" r="0" t="0"/>
                  <wp:docPr descr="" title="" id="580" name="Picture"/>
                  <a:graphic>
                    <a:graphicData uri="http://schemas.openxmlformats.org/drawingml/2006/picture">
                      <pic:pic>
                        <pic:nvPicPr>
                          <pic:cNvPr descr="7.Chapter/Figures/F3_lmmres.png" id="581" name="Picture"/>
                          <pic:cNvPicPr>
                            <a:picLocks noChangeArrowheads="1" noChangeAspect="1"/>
                          </pic:cNvPicPr>
                        </pic:nvPicPr>
                        <pic:blipFill>
                          <a:blip r:embed="rId579"/>
                          <a:stretch>
                            <a:fillRect/>
                          </a:stretch>
                        </pic:blipFill>
                        <pic:spPr bwMode="auto">
                          <a:xfrm>
                            <a:off x="0" y="0"/>
                            <a:ext cx="5943600" cy="6116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w:t>
            </w:r>
            <w:r>
              <w:t xml:space="preserve"> </w:t>
            </w:r>
            <w:r>
              <w:rPr>
                <w:b/>
                <w:bCs/>
              </w:rPr>
              <w:t xml:space="preserve">Structural brain changes from 10 to 14 years.</w:t>
            </w:r>
            <w:r>
              <w:t xml:space="preserve">(A-D) The longitudinal change in total brain (A, B) and grey matter volume (C, D) is represented for children with</w:t>
            </w:r>
            <w:r>
              <w:t xml:space="preserve"> </w:t>
            </w:r>
            <w:r>
              <w:t xml:space="preserve">“high”</w:t>
            </w:r>
            <w:r>
              <w:t xml:space="preserve"> </w:t>
            </w:r>
            <w:r>
              <w:t xml:space="preserve">levels of exposure (i.e., &gt; 1 SD above the mean in systolic or diastolic blood pressure; in red), exposure values in the intermediate rage (i.e., between –1 and 1 SD around the mean; in green) or low levels of the exposure (i.e., &lt; –1 SD below the mean; in blue). The distribution of age at MRI measurement is also depicted in grey on the bottom of each graph.</w:t>
            </w:r>
          </w:p>
          <w:bookmarkEnd w:id="582"/>
        </w:tc>
      </w:tr>
    </w:tbl>
    <w:p>
      <w:pPr>
        <w:pStyle w:val="BodyText"/>
      </w:pPr>
      <w:r>
        <w:t xml:space="preserve">Associations were largely homogenous between sexes (</w:t>
      </w:r>
      <w:hyperlink r:id="rId560">
        <w:r>
          <w:rPr>
            <w:rStyle w:val="Hyperlink"/>
          </w:rPr>
          <w:t xml:space="preserve">Figure S4</w:t>
        </w:r>
      </w:hyperlink>
      <w:r>
        <w:t xml:space="preserve">,</w:t>
      </w:r>
      <w:r>
        <w:t xml:space="preserve"> </w:t>
      </w:r>
      <w:hyperlink r:id="rId560">
        <w:r>
          <w:rPr>
            <w:rStyle w:val="Hyperlink"/>
          </w:rPr>
          <w:t xml:space="preserve">Table S6</w:t>
        </w:r>
      </w:hyperlink>
      <w:r>
        <w:t xml:space="preserve">) and did not seem to be explained by differences in cranium size, nor by a significant increase in cerebro-spinal fluid volumes (</w:t>
      </w:r>
      <w:hyperlink r:id="rId560">
        <w:r>
          <w:rPr>
            <w:rStyle w:val="Hyperlink"/>
          </w:rPr>
          <w:t xml:space="preserve">Figure S5</w:t>
        </w:r>
      </w:hyperlink>
      <w:r>
        <w:t xml:space="preserve">,</w:t>
      </w:r>
      <w:r>
        <w:t xml:space="preserve"> </w:t>
      </w:r>
      <w:hyperlink r:id="rId560">
        <w:r>
          <w:rPr>
            <w:rStyle w:val="Hyperlink"/>
          </w:rPr>
          <w:t xml:space="preserve">Table S7</w:t>
        </w:r>
      </w:hyperlink>
      <w:r>
        <w:t xml:space="preserve">). There were no significant associations between either exposure and total or region-specific subcortical volumes (</w:t>
      </w:r>
      <w:hyperlink r:id="rId560">
        <w:r>
          <w:rPr>
            <w:rStyle w:val="Hyperlink"/>
          </w:rPr>
          <w:t xml:space="preserve">Figure S5</w:t>
        </w:r>
      </w:hyperlink>
      <w:r>
        <w:t xml:space="preserve">,</w:t>
      </w:r>
      <w:r>
        <w:t xml:space="preserve"> </w:t>
      </w:r>
      <w:hyperlink r:id="rId560">
        <w:r>
          <w:rPr>
            <w:rStyle w:val="Hyperlink"/>
          </w:rPr>
          <w:t xml:space="preserve">Table S8</w:t>
        </w:r>
      </w:hyperlink>
      <w:r>
        <w:t xml:space="preserve">) nor with white matter tracts FA and MD (</w:t>
      </w:r>
      <w:hyperlink r:id="rId560">
        <w:r>
          <w:rPr>
            <w:rStyle w:val="Hyperlink"/>
          </w:rPr>
          <w:t xml:space="preserve">Figures S6-S7</w:t>
        </w:r>
      </w:hyperlink>
      <w:r>
        <w:t xml:space="preserve">,</w:t>
      </w:r>
      <w:r>
        <w:t xml:space="preserve"> </w:t>
      </w:r>
      <w:hyperlink r:id="rId560">
        <w:r>
          <w:rPr>
            <w:rStyle w:val="Hyperlink"/>
          </w:rPr>
          <w:t xml:space="preserve">Tables S9-S10</w:t>
        </w:r>
      </w:hyperlink>
      <w:r>
        <w:t xml:space="preserve">). SBP was significantly associated with total cortical volume (β [95%CI] = -0.05 [-0.08;-0.01], P</w:t>
      </w:r>
      <w:r>
        <w:rPr>
          <w:i/>
          <w:iCs/>
          <w:vertAlign w:val="subscript"/>
        </w:rPr>
        <w:t xml:space="preserve">FDR</w:t>
      </w:r>
      <w:r>
        <w:t xml:space="preserve"> </w:t>
      </w:r>
      <w:r>
        <w:t xml:space="preserve">= .036; see</w:t>
      </w:r>
      <w:r>
        <w:t xml:space="preserve"> </w:t>
      </w:r>
      <w:hyperlink r:id="rId560">
        <w:r>
          <w:rPr>
            <w:rStyle w:val="Hyperlink"/>
          </w:rPr>
          <w:t xml:space="preserve">Figure S5</w:t>
        </w:r>
      </w:hyperlink>
      <w:r>
        <w:t xml:space="preserve"> </w:t>
      </w:r>
      <w:r>
        <w:t xml:space="preserve">and</w:t>
      </w:r>
      <w:r>
        <w:t xml:space="preserve"> </w:t>
      </w:r>
      <w:hyperlink r:id="rId560">
        <w:r>
          <w:rPr>
            <w:rStyle w:val="Hyperlink"/>
          </w:rPr>
          <w:t xml:space="preserve">Table S7</w:t>
        </w:r>
      </w:hyperlink>
      <w:r>
        <w:t xml:space="preserve">), but no local associations with cortical thickness emerged from the vertex-wise analyses (</w:t>
      </w:r>
      <w:hyperlink r:id="rId560">
        <w:r>
          <w:rPr>
            <w:rStyle w:val="Hyperlink"/>
          </w:rPr>
          <w:t xml:space="preserve">Table S11</w:t>
        </w:r>
      </w:hyperlink>
      <w:r>
        <w:t xml:space="preserve">).</w:t>
      </w:r>
    </w:p>
    <w:p>
      <w:pPr>
        <w:pStyle w:val="BodyText"/>
      </w:pPr>
      <w:r>
        <w:t xml:space="preserve">Notably, the associations between SBP and total/grey matter volumes were significantly attenuated after adjusting for birth-related covariates (TBV: β [95%CI] = -0.03 [-0.06; 0.01], P</w:t>
      </w:r>
      <w:r>
        <w:rPr>
          <w:i/>
          <w:iCs/>
          <w:vertAlign w:val="subscript"/>
        </w:rPr>
        <w:t xml:space="preserve">FDR</w:t>
      </w:r>
      <w:r>
        <w:t xml:space="preserve"> </w:t>
      </w:r>
      <w:r>
        <w:t xml:space="preserve">= .230; GMV: β [95%CI] = -0.03 [-0.06; 0.00], P</w:t>
      </w:r>
      <w:r>
        <w:rPr>
          <w:i/>
          <w:iCs/>
          <w:vertAlign w:val="subscript"/>
        </w:rPr>
        <w:t xml:space="preserve">FDR</w:t>
      </w:r>
      <w:r>
        <w:t xml:space="preserve"> </w:t>
      </w:r>
      <w:r>
        <w:t xml:space="preserve">= .229; see</w:t>
      </w:r>
      <w:r>
        <w:t xml:space="preserve"> </w:t>
      </w:r>
      <w:hyperlink r:id="rId560">
        <w:r>
          <w:rPr>
            <w:rStyle w:val="Hyperlink"/>
          </w:rPr>
          <w:t xml:space="preserve">Table S12</w:t>
        </w:r>
      </w:hyperlink>
      <w:r>
        <w:t xml:space="preserve">).</w:t>
      </w:r>
    </w:p>
    <w:bookmarkEnd w:id="583"/>
    <w:bookmarkStart w:id="584" w:name="sensitivity-analyses-1"/>
    <w:p>
      <w:pPr>
        <w:pStyle w:val="Heading3"/>
      </w:pPr>
      <w:r>
        <w:t xml:space="preserve">Sensitivity analyses</w:t>
      </w:r>
    </w:p>
    <w:p>
      <w:pPr>
        <w:pStyle w:val="FirstParagraph"/>
      </w:pPr>
      <w:r>
        <w:t xml:space="preserve">Restricting the analyses to participants with complete outcome data (</w:t>
      </w:r>
      <w:r>
        <w:rPr>
          <w:i/>
          <w:iCs/>
        </w:rPr>
        <w:t xml:space="preserve">n</w:t>
      </w:r>
      <w:r>
        <w:t xml:space="preserve"> </w:t>
      </w:r>
      <w:r>
        <w:t xml:space="preserve">= 2054 for structural MRI and 2308 for DTI) did not substantively change the reported findings, besides a slight increase in effect sizes for both SBP (TBV: β [95%CI] = -0.05 [-0.09;-0.01], P</w:t>
      </w:r>
      <w:r>
        <w:rPr>
          <w:i/>
          <w:iCs/>
          <w:vertAlign w:val="subscript"/>
        </w:rPr>
        <w:t xml:space="preserve">FDR</w:t>
      </w:r>
      <w:r>
        <w:t xml:space="preserve"> </w:t>
      </w:r>
      <w:r>
        <w:t xml:space="preserve">= .016; GMV: β [95%CI] = -0.06 [-0.09;-0.02], P</w:t>
      </w:r>
      <w:r>
        <w:rPr>
          <w:i/>
          <w:iCs/>
          <w:vertAlign w:val="subscript"/>
        </w:rPr>
        <w:t xml:space="preserve">FDR</w:t>
      </w:r>
      <w:r>
        <w:t xml:space="preserve"> </w:t>
      </w:r>
      <w:r>
        <w:t xml:space="preserve">= .013) and DBP (TBV and GMV: β [95%CI] = -0.05 [-0.09;-0.02], P</w:t>
      </w:r>
      <w:r>
        <w:rPr>
          <w:i/>
          <w:iCs/>
          <w:vertAlign w:val="subscript"/>
        </w:rPr>
        <w:t xml:space="preserve">FDR</w:t>
      </w:r>
      <w:r>
        <w:t xml:space="preserve"> </w:t>
      </w:r>
      <w:r>
        <w:t xml:space="preserve">= .012; see</w:t>
      </w:r>
      <w:r>
        <w:t xml:space="preserve"> </w:t>
      </w:r>
      <w:hyperlink r:id="rId560">
        <w:r>
          <w:rPr>
            <w:rStyle w:val="Hyperlink"/>
          </w:rPr>
          <w:t xml:space="preserve">Tables S13-S14</w:t>
        </w:r>
      </w:hyperlink>
      <w:r>
        <w:t xml:space="preserve">).</w:t>
      </w:r>
    </w:p>
    <w:bookmarkEnd w:id="584"/>
    <w:bookmarkEnd w:id="585"/>
    <w:bookmarkStart w:id="591" w:name="discussion-5"/>
    <w:p>
      <w:pPr>
        <w:pStyle w:val="Heading2"/>
      </w:pPr>
      <w:r>
        <w:t xml:space="preserve">7.4 Discussion</w:t>
      </w:r>
    </w:p>
    <w:p>
      <w:pPr>
        <w:pStyle w:val="FirstParagraph"/>
      </w:pPr>
      <w:r>
        <w:t xml:space="preserve">In this population-based prospective cohort study, we observed that systolic and diastolic blood pressure at age 10 years were associated with lower total and grey matter volumes at age 10 and 14 years. The associations between systolic blood pressure and brain volumes were partially explained by birth-related confounders (particularly birthweight). No significant associations were observed for carotid intima-media thickness or distensibility, nor for white matter microstructural markers.</w:t>
      </w:r>
    </w:p>
    <w:bookmarkStart w:id="586" w:name="interpretation-of-main-findings"/>
    <w:p>
      <w:pPr>
        <w:pStyle w:val="Heading3"/>
      </w:pPr>
      <w:r>
        <w:t xml:space="preserve">Interpretation of main findings</w:t>
      </w:r>
    </w:p>
    <w:p>
      <w:pPr>
        <w:pStyle w:val="FirstParagraph"/>
      </w:pPr>
      <w:r>
        <w:t xml:space="preserve">To the best of our knowledge, this is the first study to establish a link between high blood pressure and brain volume reduction in the general pediatric population. 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We could not find evidence for a significant role of arterial wall thickness or stiffness on the adolescent brain, as we had expected based on adult reports</w:t>
      </w:r>
      <w:r>
        <w:t xml:space="preserve"> </w:t>
      </w:r>
      <w:r>
        <w:t xml:space="preserve">(Cermakova et al., 2020; Maillard et al., 2016)</w:t>
      </w:r>
      <w:r>
        <w:t xml:space="preserve">. This might have been due to insufficient sensitivity of ultrasound measures and/or lack of variability in these markers in healthy pediatric population.</w:t>
      </w:r>
    </w:p>
    <w:p>
      <w:pPr>
        <w:pStyle w:val="BodyText"/>
      </w:pPr>
      <w:r>
        <w:t xml:space="preserve">In line with our findings, several previous studies reported a negative association between (diastolic) blood pressure and cognitive function in children and adolescents</w:t>
      </w:r>
      <w:r>
        <w:t xml:space="preserve"> </w:t>
      </w:r>
      <w:r>
        <w:t xml:space="preserve">(Dawson et al., 2021; Lamballais et al., 2018; Lande &amp; Kupferman, 2019; Lucas et al., 2022)</w:t>
      </w:r>
      <w:r>
        <w:t xml:space="preserve">. The biological substrate underlying these associations, however, is less studied. Interestingly, a few transcranial Doppler ultrasound studies demonstrated blunted cerebrovascular reactivity in hypertensive children</w:t>
      </w:r>
      <w:r>
        <w:t xml:space="preserve"> </w:t>
      </w:r>
      <w:r>
        <w:t xml:space="preserve">(Lande &amp; Kupferman, 2019; Wong et al., 2011)</w:t>
      </w:r>
      <w:r>
        <w:t xml:space="preserve">, however, these were conducted in small samples and suffer from wide inter-observer measurement variability. We corroborated and extended these findings using more stable structural MRI markers, and found that morphological brain outcomes (volumetric measures) may be already sensitive to early increase in arterial blood pressure. This was not true for microstructural properties of the white matter, which was unexpected, as adult studies typically point to impaired white matter integrity as an early marker of neurovascular pathology</w:t>
      </w:r>
      <w:r>
        <w:t xml:space="preserve"> </w:t>
      </w:r>
      <w:r>
        <w:t xml:space="preserve">(Maillard et al., 2012)</w:t>
      </w:r>
      <w:r>
        <w:t xml:space="preserve">. However, it is important to note that both macroscopic and microstructural changes reported in older populations may reflect different processes (e.g., cellular atrophy and white matter lesions) compared to earlier developmental windows, where the same neuroimaging markers may underlie, for instance, grey and white matter maturation. Indeed, while grey matter maturation tends to peak already in early adolescence, white matter growth typically doesn’t peak until mid-adulthood, which could partly explain the observed pattern of results</w:t>
      </w:r>
      <w:r>
        <w:t xml:space="preserve"> </w:t>
      </w:r>
      <w:r>
        <w:t xml:space="preserve">(Groeschel et al., 2010)</w:t>
      </w:r>
      <w:r>
        <w:t xml:space="preserve">.</w:t>
      </w:r>
    </w:p>
    <w:bookmarkEnd w:id="586"/>
    <w:bookmarkStart w:id="587" w:name="biological-mechanisms"/>
    <w:p>
      <w:pPr>
        <w:pStyle w:val="Heading3"/>
      </w:pPr>
      <w:r>
        <w:t xml:space="preserve">Biological mechanisms</w:t>
      </w:r>
    </w:p>
    <w:p>
      <w:pPr>
        <w:pStyle w:val="FirstParagraph"/>
      </w:pPr>
      <w:r>
        <w:t xml:space="preserve">Several potential mechanisms could explain the reported associations. For example, it was been proposed that high blood pressure could cause damage to the neurovasculature and result in reduced cerebral blood perfusion, leading to suboptimal oxygen and nutritional supplies, and potentially altering ongoing neurodevelopmental processes</w:t>
      </w:r>
      <w:r>
        <w:t xml:space="preserve"> </w:t>
      </w:r>
      <w:r>
        <w:t xml:space="preserve">(Lucas et al., 2022)</w:t>
      </w:r>
      <w:r>
        <w:t xml:space="preserve">. Additionally, alterations in immune and hypothalamic-pituitary-adrenal axis functioning resulting from chronically high blood pressure could trigger neuroinflammation, further impairing brain development</w:t>
      </w:r>
      <w:r>
        <w:t xml:space="preserve"> </w:t>
      </w:r>
      <w:r>
        <w:t xml:space="preserve">(Perrotta et al., 2018)</w:t>
      </w:r>
      <w:r>
        <w:t xml:space="preserve">.</w:t>
      </w:r>
    </w:p>
    <w:bookmarkEnd w:id="587"/>
    <w:bookmarkStart w:id="588" w:name="clinical-relevance"/>
    <w:p>
      <w:pPr>
        <w:pStyle w:val="Heading3"/>
      </w:pPr>
      <w:r>
        <w:t xml:space="preserve">Clinical relevance</w:t>
      </w:r>
    </w:p>
    <w:p>
      <w:pPr>
        <w:pStyle w:val="FirstParagraph"/>
      </w:pPr>
      <w:r>
        <w:t xml:space="preserve">Over the past decades, the prevalence of high blood pressure among children and adolescents has increased dramatically, in concert with the global epidemic of obesity</w:t>
      </w:r>
      <w:r>
        <w:t xml:space="preserve"> </w:t>
      </w:r>
      <w:r>
        <w:t xml:space="preserve">(Riley et al., 2018)</w:t>
      </w:r>
      <w:r>
        <w:t xml:space="preserve">. Elevated blood pressure in childhood is known to track into adulthood and increase the risk of cardiovascular disease</w:t>
      </w:r>
      <w:r>
        <w:t xml:space="preserve"> </w:t>
      </w:r>
      <w:r>
        <w:t xml:space="preserve">(Yang et al., 2020)</w:t>
      </w:r>
      <w:r>
        <w:t xml:space="preserve">. In our 10-year-old sample, each 6 mmHg increase in diastolic blood pressure (i.e., 1 SD) was followed by a 3.6 cm</w:t>
      </w:r>
      <w:r>
        <w:rPr>
          <w:vertAlign w:val="superscript"/>
        </w:rPr>
        <w:t xml:space="preserve">3</w:t>
      </w:r>
      <w:r>
        <w:t xml:space="preserve"> </w:t>
      </w:r>
      <w:r>
        <w:t xml:space="preserve">reduction in total brain volume, and a 2.3 cm</w:t>
      </w:r>
      <w:r>
        <w:rPr>
          <w:vertAlign w:val="superscript"/>
        </w:rPr>
        <w:t xml:space="preserve">3</w:t>
      </w:r>
      <w:r>
        <w:t xml:space="preserve"> </w:t>
      </w:r>
      <w:r>
        <w:t xml:space="preserve">reduction in grey matter volume four years later. In our longitudinal follow-up analysis, we could further show how this corresponded to about one third of the estimated yearly change in TBV. These results are important from a developmental perspective, since they suggest that early detection and prevention of elevated blood pressure may be relevant not only for long-term cardiovascular health but also for structural brain development. However, whether these associations are clinically relevant (e.g., in terms of cognitive performance or mental health symptomatology) or whether they will evolve into long-term alteration of brain health, needs to be further studied. Nevertheless, pediatric screening for high blood pressure may be a relatively easy measure to implement to monitor and potentially decrease the risk of future brain disease and cognitive impairment.</w:t>
      </w:r>
    </w:p>
    <w:bookmarkEnd w:id="588"/>
    <w:bookmarkStart w:id="589" w:name="strengths-and-limitations"/>
    <w:p>
      <w:pPr>
        <w:pStyle w:val="Heading3"/>
      </w:pPr>
      <w:r>
        <w:t xml:space="preserve">Strengths and limitations</w:t>
      </w:r>
    </w:p>
    <w:p>
      <w:pPr>
        <w:pStyle w:val="FirstParagraph"/>
      </w:pPr>
      <w:r>
        <w:t xml:space="preserve">This study used prospectively measured data from a large population-based sample. Detailed and objective measures of both arterial and brain health were available and selection bias due to non-response was addressed thoroughly using multiple imputation and sensitivity analyses. However, it is important to note that, although we adjusted the analyses for several socio-demographic and lifestyle factors known to influence the associations, residual confounding, for example by genetic predisposition, exposure to stress, nutritional intake or physical activity, may still be present. Additionally, note that, for practical reasons, blood pressure was measured in supine position in this study, as opposed to more conventional sitting measures. Further studies are undoubtedly needed to replicate and validate these findings, and to further investigate potential underlying mechanisms and/or modifiable factors that could explain or attenuate these associations.</w:t>
      </w:r>
    </w:p>
    <w:bookmarkEnd w:id="589"/>
    <w:bookmarkStart w:id="590" w:name="conclusions-2"/>
    <w:p>
      <w:pPr>
        <w:pStyle w:val="Heading3"/>
      </w:pPr>
      <w:r>
        <w:t xml:space="preserve">Conclusions</w:t>
      </w:r>
    </w:p>
    <w:p>
      <w:pPr>
        <w:pStyle w:val="FirstParagraph"/>
      </w:pPr>
      <w:r>
        <w:t xml:space="preserve">High blood pressure in childhood was associated with suboptimal brain development already in early adolescence, particularly with respect to reduced total brain and grey matter volumes. Pediatric screening for high blood pressure may thus be relevant not only for the prevention of long-term cardiovascular health problems, but also for structural brain development. Identifying such early biomarkers of neurovascular health entails important implications for future clinical and public heath priorities, especially considering the established relationship between these markers and later prognosis of cerebrovascular disease and dementia.</w:t>
      </w:r>
    </w:p>
    <w:bookmarkEnd w:id="590"/>
    <w:bookmarkEnd w:id="591"/>
    <w:bookmarkStart w:id="664" w:name="references-6"/>
    <w:p>
      <w:pPr>
        <w:pStyle w:val="Heading2"/>
      </w:pPr>
      <w:r>
        <w:t xml:space="preserve">References</w:t>
      </w:r>
    </w:p>
    <w:bookmarkStart w:id="663" w:name="refs--7"/>
    <w:bookmarkStart w:id="592" w:name="ref-AlHazzouri2015"/>
    <w:p>
      <w:pPr>
        <w:pStyle w:val="FirstParagraph"/>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592"/>
    <w:bookmarkStart w:id="594" w:name="ref-Alateeq2022"/>
    <w:p>
      <w:pPr>
        <w:pStyle w:val="BodyText"/>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93">
        <w:r>
          <w:rPr>
            <w:rStyle w:val="Hyperlink"/>
          </w:rPr>
          <w:t xml:space="preserve">https://doi.org/10.3390/jcm11113127</w:t>
        </w:r>
      </w:hyperlink>
    </w:p>
    <w:bookmarkEnd w:id="594"/>
    <w:bookmarkStart w:id="596" w:name="ref-Badji2019"/>
    <w:p>
      <w:pPr>
        <w:pStyle w:val="BodyText"/>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95">
        <w:r>
          <w:rPr>
            <w:rStyle w:val="Hyperlink"/>
          </w:rPr>
          <w:t xml:space="preserve">https://doi.org/10.1016/j.arr.2019.05.001</w:t>
        </w:r>
      </w:hyperlink>
    </w:p>
    <w:bookmarkEnd w:id="596"/>
    <w:bookmarkStart w:id="598" w:name="ref-Baradaran2020"/>
    <w:p>
      <w:pPr>
        <w:pStyle w:val="BodyText"/>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97">
        <w:r>
          <w:rPr>
            <w:rStyle w:val="Hyperlink"/>
          </w:rPr>
          <w:t xml:space="preserve">https://doi.org/10.21037/atm-20-1939</w:t>
        </w:r>
      </w:hyperlink>
    </w:p>
    <w:bookmarkEnd w:id="598"/>
    <w:bookmarkStart w:id="600" w:name="ref-Bates2015"/>
    <w:p>
      <w:pPr>
        <w:pStyle w:val="BodyText"/>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99">
        <w:r>
          <w:rPr>
            <w:rStyle w:val="Hyperlink"/>
          </w:rPr>
          <w:t xml:space="preserve">https://doi.org/10.18637/jss.v067.i01</w:t>
        </w:r>
      </w:hyperlink>
    </w:p>
    <w:bookmarkEnd w:id="600"/>
    <w:bookmarkStart w:id="602" w:name="ref-Beauchet2013"/>
    <w:p>
      <w:pPr>
        <w:pStyle w:val="BodyText"/>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601">
        <w:r>
          <w:rPr>
            <w:rStyle w:val="Hyperlink"/>
          </w:rPr>
          <w:t xml:space="preserve">https://doi.org/10.1097/HJH.0b013e32836184b5</w:t>
        </w:r>
      </w:hyperlink>
    </w:p>
    <w:bookmarkEnd w:id="602"/>
    <w:bookmarkStart w:id="603" w:name="ref-Benjamini2001"/>
    <w:p>
      <w:pPr>
        <w:pStyle w:val="BodyText"/>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603"/>
    <w:bookmarkStart w:id="604" w:name="ref-BrainDev2012"/>
    <w:p>
      <w:pPr>
        <w:pStyle w:val="BodyText"/>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04"/>
    <w:bookmarkStart w:id="605"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605"/>
    <w:bookmarkStart w:id="607" w:name="ref-Cermakova2020"/>
    <w:p>
      <w:pPr>
        <w:pStyle w:val="BodyText"/>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606">
        <w:r>
          <w:rPr>
            <w:rStyle w:val="Hyperlink"/>
          </w:rPr>
          <w:t xml:space="preserve">https://doi.org/10.1093/gerona/glz039</w:t>
        </w:r>
      </w:hyperlink>
    </w:p>
    <w:bookmarkEnd w:id="607"/>
    <w:bookmarkStart w:id="609" w:name="ref-Dawson2021"/>
    <w:p>
      <w:pPr>
        <w:pStyle w:val="BodyText"/>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608">
        <w:r>
          <w:rPr>
            <w:rStyle w:val="Hyperlink"/>
          </w:rPr>
          <w:t xml:space="preserve">https://doi.org/10.1007/s00467-021-05077-w</w:t>
        </w:r>
      </w:hyperlink>
    </w:p>
    <w:bookmarkEnd w:id="609"/>
    <w:bookmarkStart w:id="610" w:name="ref-DeGroot2013"/>
    <w:p>
      <w:pPr>
        <w:pStyle w:val="BodyText"/>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610"/>
    <w:bookmarkStart w:id="612" w:name="ref-Fischl2012"/>
    <w:p>
      <w:pPr>
        <w:pStyle w:val="BodyText"/>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611">
        <w:r>
          <w:rPr>
            <w:rStyle w:val="Hyperlink"/>
          </w:rPr>
          <w:t xml:space="preserve">https://doi.org/10.1016/j.neuroimage.2012.01.021</w:t>
        </w:r>
      </w:hyperlink>
    </w:p>
    <w:bookmarkEnd w:id="612"/>
    <w:bookmarkStart w:id="613"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613"/>
    <w:bookmarkStart w:id="615" w:name="ref-Groeschel2010"/>
    <w:p>
      <w:pPr>
        <w:pStyle w:val="BodyText"/>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614">
        <w:r>
          <w:rPr>
            <w:rStyle w:val="Hyperlink"/>
          </w:rPr>
          <w:t xml:space="preserve">https://doi.org/10.1016/j.ijdevneu.2010.06.004</w:t>
        </w:r>
      </w:hyperlink>
    </w:p>
    <w:bookmarkEnd w:id="615"/>
    <w:bookmarkStart w:id="617" w:name="ref-Hu2022"/>
    <w:p>
      <w:pPr>
        <w:pStyle w:val="BodyText"/>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616">
        <w:r>
          <w:rPr>
            <w:rStyle w:val="Hyperlink"/>
          </w:rPr>
          <w:t xml:space="preserve">https://doi.org/10.1001/jamanetworkopen.2022.1175</w:t>
        </w:r>
      </w:hyperlink>
    </w:p>
    <w:bookmarkEnd w:id="617"/>
    <w:bookmarkStart w:id="61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618"/>
    <w:bookmarkStart w:id="620" w:name="ref-Kruger2021"/>
    <w:p>
      <w:pPr>
        <w:pStyle w:val="BodyText"/>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619">
        <w:r>
          <w:rPr>
            <w:rStyle w:val="Hyperlink"/>
          </w:rPr>
          <w:t xml:space="preserve">https://doi.org/10.1007/s00467-020-04593-5</w:t>
        </w:r>
      </w:hyperlink>
    </w:p>
    <w:bookmarkEnd w:id="620"/>
    <w:bookmarkStart w:id="622" w:name="ref-Lamballais2018"/>
    <w:p>
      <w:pPr>
        <w:pStyle w:val="BodyText"/>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621">
        <w:r>
          <w:rPr>
            <w:rStyle w:val="Hyperlink"/>
          </w:rPr>
          <w:t xml:space="preserve">https://doi.org/doi:10.1161/JAHA.118.009847</w:t>
        </w:r>
      </w:hyperlink>
    </w:p>
    <w:bookmarkEnd w:id="622"/>
    <w:bookmarkStart w:id="624" w:name="ref-Lande2019"/>
    <w:p>
      <w:pPr>
        <w:pStyle w:val="BodyText"/>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623">
        <w:r>
          <w:rPr>
            <w:rStyle w:val="Hyperlink"/>
          </w:rPr>
          <w:t xml:space="preserve">https://doi.org/doi:10.1161/HYPERTENSIONAHA.118.11686</w:t>
        </w:r>
      </w:hyperlink>
    </w:p>
    <w:bookmarkEnd w:id="624"/>
    <w:bookmarkStart w:id="625" w:name="ref-Launer2015"/>
    <w:p>
      <w:pPr>
        <w:pStyle w:val="BodyText"/>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625"/>
    <w:bookmarkStart w:id="627" w:name="ref-Lucas2022"/>
    <w:p>
      <w:pPr>
        <w:pStyle w:val="BodyText"/>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626">
        <w:r>
          <w:rPr>
            <w:rStyle w:val="Hyperlink"/>
          </w:rPr>
          <w:t xml:space="preserve">https://doi.org/10.3389/fcvm.2022.973793</w:t>
        </w:r>
      </w:hyperlink>
    </w:p>
    <w:bookmarkEnd w:id="627"/>
    <w:bookmarkStart w:id="628" w:name="ref-Maillard2017"/>
    <w:p>
      <w:pPr>
        <w:pStyle w:val="BodyText"/>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628"/>
    <w:bookmarkStart w:id="629" w:name="ref-Maillard2016"/>
    <w:p>
      <w:pPr>
        <w:pStyle w:val="BodyText"/>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629"/>
    <w:bookmarkStart w:id="630" w:name="ref-Maillard2012"/>
    <w:p>
      <w:pPr>
        <w:pStyle w:val="BodyText"/>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630"/>
    <w:bookmarkStart w:id="632" w:name="ref-Muetzel2018"/>
    <w:p>
      <w:pPr>
        <w:pStyle w:val="BodyText"/>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631">
        <w:r>
          <w:rPr>
            <w:rStyle w:val="Hyperlink"/>
          </w:rPr>
          <w:t xml:space="preserve">https://doi.org/10.1176/appi.ajp.2017.16070813</w:t>
        </w:r>
      </w:hyperlink>
    </w:p>
    <w:bookmarkEnd w:id="632"/>
    <w:bookmarkStart w:id="634" w:name="ref-Muetzel2019"/>
    <w:p>
      <w:pPr>
        <w:pStyle w:val="BodyText"/>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633">
        <w:r>
          <w:rPr>
            <w:rStyle w:val="Hyperlink"/>
          </w:rPr>
          <w:t xml:space="preserve">https://doi.org/10.3389/fpsyt.2019.00696</w:t>
        </w:r>
      </w:hyperlink>
    </w:p>
    <w:bookmarkEnd w:id="634"/>
    <w:bookmarkStart w:id="636" w:name="ref-Pase2016"/>
    <w:p>
      <w:pPr>
        <w:pStyle w:val="BodyText"/>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635">
        <w:r>
          <w:rPr>
            <w:rStyle w:val="Hyperlink"/>
          </w:rPr>
          <w:t xml:space="preserve">https://doi.org/doi:10.1161/HYPERTENSIONAHA.115.06610</w:t>
        </w:r>
      </w:hyperlink>
    </w:p>
    <w:bookmarkEnd w:id="636"/>
    <w:bookmarkStart w:id="638" w:name="ref-Pasha2018"/>
    <w:p>
      <w:pPr>
        <w:pStyle w:val="BodyText"/>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637">
        <w:r>
          <w:rPr>
            <w:rStyle w:val="Hyperlink"/>
          </w:rPr>
          <w:t xml:space="preserve">https://doi.org/10.1016/j.neurobiolaging.2018.02.012</w:t>
        </w:r>
      </w:hyperlink>
    </w:p>
    <w:bookmarkEnd w:id="638"/>
    <w:bookmarkStart w:id="640" w:name="ref-Perrotta2018"/>
    <w:p>
      <w:pPr>
        <w:pStyle w:val="BodyText"/>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639">
        <w:r>
          <w:rPr>
            <w:rStyle w:val="Hyperlink"/>
          </w:rPr>
          <w:t xml:space="preserve">https://doi.org/10.1007/s11906-018-0808-8</w:t>
        </w:r>
      </w:hyperlink>
    </w:p>
    <w:bookmarkEnd w:id="640"/>
    <w:bookmarkStart w:id="642" w:name="ref-Redel2022"/>
    <w:p>
      <w:pPr>
        <w:pStyle w:val="BodyText"/>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641">
        <w:r>
          <w:rPr>
            <w:rStyle w:val="Hyperlink"/>
          </w:rPr>
          <w:t xml:space="preserve">https://doi.org/10.1111/pedi.13313</w:t>
        </w:r>
      </w:hyperlink>
    </w:p>
    <w:bookmarkEnd w:id="642"/>
    <w:bookmarkStart w:id="643" w:name="ref-Riley2018"/>
    <w:p>
      <w:pPr>
        <w:pStyle w:val="BodyText"/>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643"/>
    <w:bookmarkStart w:id="644" w:name="ref-Rosner2013"/>
    <w:p>
      <w:pPr>
        <w:pStyle w:val="BodyText"/>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644"/>
    <w:bookmarkStart w:id="646" w:name="ref-Rubin1987"/>
    <w:p>
      <w:pPr>
        <w:pStyle w:val="BodyText"/>
      </w:pPr>
      <w:r>
        <w:t xml:space="preserve">Rubin, D. B. (1987).</w:t>
      </w:r>
      <w:r>
        <w:t xml:space="preserve"> </w:t>
      </w:r>
      <w:r>
        <w:rPr>
          <w:i/>
          <w:iCs/>
        </w:rPr>
        <w:t xml:space="preserve">Multiple imputation for nonresponse in surveys</w:t>
      </w:r>
      <w:r>
        <w:t xml:space="preserve">. John Wiley &amp; Sons.</w:t>
      </w:r>
      <w:r>
        <w:t xml:space="preserve"> </w:t>
      </w:r>
      <w:hyperlink r:id="rId645">
        <w:r>
          <w:rPr>
            <w:rStyle w:val="Hyperlink"/>
          </w:rPr>
          <w:t xml:space="preserve">https://doi.org/10.1002/9780470316696</w:t>
        </w:r>
      </w:hyperlink>
    </w:p>
    <w:bookmarkEnd w:id="646"/>
    <w:bookmarkStart w:id="648" w:name="ref-Shah2014"/>
    <w:p>
      <w:pPr>
        <w:pStyle w:val="BodyText"/>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47">
        <w:r>
          <w:rPr>
            <w:rStyle w:val="Hyperlink"/>
          </w:rPr>
          <w:t xml:space="preserve">https://doi.org/10.1093/aje/kwt312</w:t>
        </w:r>
      </w:hyperlink>
    </w:p>
    <w:bookmarkEnd w:id="648"/>
    <w:bookmarkStart w:id="650"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49">
        <w:r>
          <w:rPr>
            <w:rStyle w:val="Hyperlink"/>
          </w:rPr>
          <w:t xml:space="preserve">https://doi.org/10.1038/s41366-021-00913-3</w:t>
        </w:r>
      </w:hyperlink>
    </w:p>
    <w:bookmarkEnd w:id="650"/>
    <w:bookmarkStart w:id="651" w:name="ref-Song2020"/>
    <w:p>
      <w:pPr>
        <w:pStyle w:val="BodyText"/>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651"/>
    <w:bookmarkStart w:id="653"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52">
        <w:r>
          <w:rPr>
            <w:rStyle w:val="Hyperlink"/>
          </w:rPr>
          <w:t xml:space="preserve">https://doi.org/10.1007/s00429-020-02209-0</w:t>
        </w:r>
      </w:hyperlink>
    </w:p>
    <w:bookmarkEnd w:id="653"/>
    <w:bookmarkStart w:id="655" w:name="ref-Tsao2022"/>
    <w:p>
      <w:pPr>
        <w:pStyle w:val="BodyText"/>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54">
        <w:r>
          <w:rPr>
            <w:rStyle w:val="Hyperlink"/>
          </w:rPr>
          <w:t xml:space="preserve">https://doi.org/10.1161/CIR.0000000000001052</w:t>
        </w:r>
      </w:hyperlink>
    </w:p>
    <w:bookmarkEnd w:id="655"/>
    <w:bookmarkStart w:id="657" w:name="ref-Wang2022"/>
    <w:p>
      <w:pPr>
        <w:pStyle w:val="BodyText"/>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56">
        <w:r>
          <w:rPr>
            <w:rStyle w:val="Hyperlink"/>
          </w:rPr>
          <w:t xml:space="preserve">https://doi.org/10.1016/j.jstrokecerebrovasdis.2022.106388</w:t>
        </w:r>
      </w:hyperlink>
    </w:p>
    <w:bookmarkEnd w:id="657"/>
    <w:bookmarkStart w:id="658" w:name="ref-Wong2011"/>
    <w:p>
      <w:pPr>
        <w:pStyle w:val="BodyText"/>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658"/>
    <w:bookmarkStart w:id="660" w:name="ref-WorldMedicalAssociation2013"/>
    <w:p>
      <w:pPr>
        <w:pStyle w:val="BodyText"/>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59">
        <w:r>
          <w:rPr>
            <w:rStyle w:val="Hyperlink"/>
          </w:rPr>
          <w:t xml:space="preserve">https://doi.org/10.1001/jama.2013.281053</w:t>
        </w:r>
      </w:hyperlink>
    </w:p>
    <w:bookmarkEnd w:id="660"/>
    <w:bookmarkStart w:id="662" w:name="ref-Yang2020"/>
    <w:p>
      <w:pPr>
        <w:pStyle w:val="BodyText"/>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61">
        <w:r>
          <w:rPr>
            <w:rStyle w:val="Hyperlink"/>
          </w:rPr>
          <w:t xml:space="preserve">https://doi.org/doi:10.1161/HYPERTENSIONAHA.119.14168</w:t>
        </w:r>
      </w:hyperlink>
    </w:p>
    <w:bookmarkEnd w:id="662"/>
    <w:bookmarkEnd w:id="663"/>
    <w:bookmarkEnd w:id="664"/>
    <w:bookmarkEnd w:id="665"/>
    <w:bookmarkStart w:id="699" w:name="general-discussion"/>
    <w:p>
      <w:pPr>
        <w:pStyle w:val="Heading1"/>
      </w:pPr>
      <w:r>
        <w:t xml:space="preserve">8. General discussion</w:t>
      </w:r>
    </w:p>
    <w:p>
      <w:pPr>
        <w:pStyle w:val="FirstParagraph"/>
      </w:pPr>
      <w:r>
        <w:t xml:space="preserve">In this dissertation we …</w:t>
      </w:r>
    </w:p>
    <w:p>
      <w:pPr>
        <w:pStyle w:val="BodyText"/>
      </w:pPr>
      <w:r>
        <w:t xml:space="preserve">We focus on adolescence, a critical developmental period, when many mental health problems first emerge, and early signs of cardio-metabolic dysregulation begin to manifest. By examining these relationships prospectively, this thesis’ goal was to provide a clearer understanding of</w:t>
      </w:r>
      <w:r>
        <w:t xml:space="preserve"> </w:t>
      </w:r>
      <w:r>
        <w:rPr>
          <w:b/>
          <w:bCs/>
        </w:rPr>
        <w:t xml:space="preserve">(a)</w:t>
      </w:r>
      <w:r>
        <w:t xml:space="preserve"> </w:t>
      </w:r>
      <w:r>
        <w:t xml:space="preserve">how ELS impacts psycho-physical health and</w:t>
      </w:r>
      <w:r>
        <w:t xml:space="preserve"> </w:t>
      </w:r>
      <w:r>
        <w:rPr>
          <w:b/>
          <w:bCs/>
        </w:rPr>
        <w:t xml:space="preserve">(b)</w:t>
      </w:r>
      <w:r>
        <w:t xml:space="preserve"> </w:t>
      </w:r>
      <w:r>
        <w:t xml:space="preserve">how mental and physical health influence each other, during this critical, formative stage of life.</w:t>
      </w:r>
    </w:p>
    <w:p>
      <w:pPr>
        <w:pStyle w:val="BodyText"/>
      </w:pPr>
      <w:r>
        <w:t xml:space="preserve">Some</w:t>
      </w:r>
      <w:r>
        <w:t xml:space="preserve"> </w:t>
      </w:r>
      <w:r>
        <w:rPr>
          <w:b/>
          <w:bCs/>
        </w:rPr>
        <w:t xml:space="preserve">key findings</w:t>
      </w:r>
      <w:r>
        <w:t xml:space="preserve"> </w:t>
      </w:r>
      <w:r>
        <w:t xml:space="preserve">/ insights we gathered across this thesis:</w:t>
      </w:r>
    </w:p>
    <w:p>
      <w:pPr>
        <w:pStyle w:val="BodyText"/>
      </w:pPr>
      <w:r>
        <w:t xml:space="preserve">Part I:</w:t>
      </w:r>
      <w:r>
        <w:t xml:space="preserve"> </w:t>
      </w:r>
      <w:r>
        <w:t xml:space="preserve">- (</w:t>
      </w:r>
      <w:hyperlink w:anchor="sec-chapter2">
        <w:r>
          <w:rPr>
            <w:rStyle w:val="Hyperlink"/>
          </w:rPr>
          <w:t xml:space="preserve">Chapter 2</w:t>
        </w:r>
      </w:hyperlink>
      <w:r>
        <w:t xml:space="preserve">)</w:t>
      </w:r>
      <w:r>
        <w:t xml:space="preserve"> </w:t>
      </w:r>
      <w:r>
        <w:t xml:space="preserve">- (</w:t>
      </w:r>
      <w:hyperlink w:anchor="sec-chapter3">
        <w:r>
          <w:rPr>
            <w:rStyle w:val="Hyperlink"/>
          </w:rPr>
          <w:t xml:space="preserve">Chapter 3</w:t>
        </w:r>
      </w:hyperlink>
      <w:r>
        <w:t xml:space="preserve">)</w:t>
      </w:r>
      <w:r>
        <w:t xml:space="preserve"> </w:t>
      </w:r>
      <w:r>
        <w:t xml:space="preserve">- (</w:t>
      </w:r>
      <w:hyperlink w:anchor="sec-chapter4">
        <w:r>
          <w:rPr>
            <w:rStyle w:val="Hyperlink"/>
          </w:rPr>
          <w:t xml:space="preserve">Chapter 4</w:t>
        </w:r>
      </w:hyperlink>
      <w:r>
        <w:t xml:space="preserve">)</w:t>
      </w:r>
      <w:r>
        <w:t xml:space="preserve"> </w:t>
      </w:r>
      <w:r>
        <w:t xml:space="preserve">- (</w:t>
      </w:r>
      <w:hyperlink w:anchor="sec-chapter5">
        <w:r>
          <w:rPr>
            <w:rStyle w:val="Hyperlink"/>
          </w:rPr>
          <w:t xml:space="preserve">Chapter 5</w:t>
        </w:r>
      </w:hyperlink>
      <w:r>
        <w:t xml:space="preserve">)</w:t>
      </w:r>
    </w:p>
    <w:p>
      <w:pPr>
        <w:pStyle w:val="BodyText"/>
      </w:pPr>
      <w:r>
        <w:t xml:space="preserve">Part II:</w:t>
      </w:r>
    </w:p>
    <w:p>
      <w:pPr>
        <w:pStyle w:val="Compact"/>
        <w:numPr>
          <w:ilvl w:val="0"/>
          <w:numId w:val="1006"/>
        </w:numPr>
      </w:pPr>
      <w:r>
        <w:t xml:space="preserve">There is a reciprocal, prospective association between depressive symptoms and adiposity (i.e., fat/lean mass index, but not body mass index) from age 10 to 25 years; In addition to these within-person associations (which are directional and time-specific) there are stable between-person associations (likely reflecting the contribution of</w:t>
      </w:r>
      <w:r>
        <w:t xml:space="preserve"> </w:t>
      </w:r>
      <w:r>
        <w:t xml:space="preserve">“time-invariant”</w:t>
      </w:r>
      <w:r>
        <w:t xml:space="preserve"> </w:t>
      </w:r>
      <w:r>
        <w:t xml:space="preserve">shared risk factors) between depressive symptoms and adiposity (</w:t>
      </w:r>
      <w:hyperlink w:anchor="sec-chapter6">
        <w:r>
          <w:rPr>
            <w:rStyle w:val="Hyperlink"/>
          </w:rPr>
          <w:t xml:space="preserve">Chapter 6</w:t>
        </w:r>
      </w:hyperlink>
      <w:r>
        <w:t xml:space="preserve">)</w:t>
      </w:r>
    </w:p>
    <w:p>
      <w:pPr>
        <w:pStyle w:val="Compact"/>
        <w:numPr>
          <w:ilvl w:val="0"/>
          <w:numId w:val="1006"/>
        </w:numPr>
      </w:pPr>
      <w:r>
        <w:t xml:space="preserve">Systolic and Diastolic blood pressure (but Intima-media thickness or arterial distensibility) at age 10 years were associated with lower total and grey matter volumes already before 15 years of age (</w:t>
      </w:r>
      <w:hyperlink w:anchor="sec-chapter7">
        <w:r>
          <w:rPr>
            <w:rStyle w:val="Hyperlink"/>
          </w:rPr>
          <w:t xml:space="preserve">Chapter 7</w:t>
        </w:r>
      </w:hyperlink>
      <w:r>
        <w:t xml:space="preserve">)</w:t>
      </w:r>
    </w:p>
    <w:p>
      <w:pPr>
        <w:pStyle w:val="FirstParagraph"/>
      </w:pPr>
      <w:r>
        <w:t xml:space="preserve">From a clinical standpoint, characterizing these associations is a fundamental step in the development of early intervention strategies that may prevent mental and physical health problems before the onset of more severe symptoms and irreversible structural changes (e.g. to the brain, the heart or the arteries).</w:t>
      </w:r>
    </w:p>
    <w:p>
      <w:pPr>
        <w:pStyle w:val="BodyText"/>
      </w:pPr>
      <w:r>
        <w:t xml:space="preserve">Now, I started this book with a confession: I absolutely hated writing this thesis, down to almost every paragraph. But, because you made it this far - or anyway you happened to open the book on this doomed last chapter - you won the dubious reward of getting to know why.</w:t>
      </w:r>
      <w:r>
        <w:t xml:space="preserve"> </w:t>
      </w:r>
      <w:r>
        <w:t xml:space="preserve">Here is a collection of things I would have done differently, followed by a few things I wish we all did differently.</w:t>
      </w:r>
    </w:p>
    <w:bookmarkStart w:id="676" w:name="what-we-measure-and-what-we-mean"/>
    <w:p>
      <w:pPr>
        <w:pStyle w:val="Heading2"/>
      </w:pPr>
      <w:r>
        <w:t xml:space="preserve">8.1 What we</w:t>
      </w:r>
      <w:r>
        <w:t xml:space="preserve"> </w:t>
      </w:r>
      <w:r>
        <w:rPr>
          <w:i/>
          <w:iCs/>
        </w:rPr>
        <w:t xml:space="preserve">measure</w:t>
      </w:r>
      <w:r>
        <w:t xml:space="preserve"> </w:t>
      </w:r>
      <w:r>
        <w:t xml:space="preserve">and what we</w:t>
      </w:r>
      <w:r>
        <w:t xml:space="preserve"> </w:t>
      </w:r>
      <w:r>
        <w:rPr>
          <w:i/>
          <w:iCs/>
        </w:rPr>
        <w:t xml:space="preserve">mean</w:t>
      </w:r>
    </w:p>
    <w:p>
      <w:pPr>
        <w:pStyle w:val="FirstParagraph"/>
      </w:pPr>
      <w:r>
        <w:t xml:space="preserve">If you want to know whether something in true, you’ll need evidence. To get evidence you’ll need data. Before you can start collecting data, you need to know how to measure. A fundamental step in human research (one that often goes wrong) is translating what we</w:t>
      </w:r>
      <w:r>
        <w:t xml:space="preserve"> </w:t>
      </w:r>
      <w:r>
        <w:rPr>
          <w:i/>
          <w:iCs/>
        </w:rPr>
        <w:t xml:space="preserve">mean</w:t>
      </w:r>
      <w:r>
        <w:t xml:space="preserve"> </w:t>
      </w:r>
      <w:r>
        <w:t xml:space="preserve">into a quantity to measure.</w:t>
      </w:r>
    </w:p>
    <w:bookmarkStart w:id="670" w:name="modelling-els"/>
    <w:p>
      <w:pPr>
        <w:pStyle w:val="Heading3"/>
      </w:pPr>
      <w:r>
        <w:t xml:space="preserve">Modelling ELS</w:t>
      </w:r>
    </w:p>
    <w:p>
      <w:pPr>
        <w:pStyle w:val="FirstParagraph"/>
      </w:pPr>
      <w:r>
        <w:t xml:space="preserve">In this dissertation, we use a cumulative risk approach. We define</w:t>
      </w:r>
      <w:r>
        <w:t xml:space="preserve"> </w:t>
      </w:r>
      <w:r>
        <w:t xml:space="preserve">“stressors”</w:t>
      </w:r>
      <w:r>
        <w:t xml:space="preserve"> </w:t>
      </w:r>
      <w:r>
        <w:t xml:space="preserve">dichotomously (i.e.,</w:t>
      </w:r>
      <w:r>
        <w:t xml:space="preserve"> </w:t>
      </w:r>
      <w:r>
        <w:t xml:space="preserve">“it happened”</w:t>
      </w:r>
      <w:r>
        <w:t xml:space="preserve"> </w:t>
      </w:r>
      <w:r>
        <w:t xml:space="preserve">vs. </w:t>
      </w:r>
      <w:r>
        <w:t xml:space="preserve">“It didn’t happen”</w:t>
      </w:r>
      <w:r>
        <w:t xml:space="preserve">) and then we sum across these multiple dichotomous indicators to obtain someone’s</w:t>
      </w:r>
      <w:r>
        <w:t xml:space="preserve"> </w:t>
      </w:r>
      <w:r>
        <w:t xml:space="preserve">“stress exposure”</w:t>
      </w:r>
      <w:r>
        <w:t xml:space="preserve">. Let’s stress then the first important aspect of using this measure: we examine the</w:t>
      </w:r>
      <w:r>
        <w:t xml:space="preserve"> </w:t>
      </w:r>
      <w:r>
        <w:rPr>
          <w:i/>
          <w:iCs/>
        </w:rPr>
        <w:t xml:space="preserve">number of stressors</w:t>
      </w:r>
      <w:r>
        <w:t xml:space="preserve"> </w:t>
      </w:r>
      <w:r>
        <w:t xml:space="preserve">experienced, rather than the</w:t>
      </w:r>
      <w:r>
        <w:t xml:space="preserve"> </w:t>
      </w:r>
      <w:r>
        <w:rPr>
          <w:i/>
          <w:iCs/>
        </w:rPr>
        <w:t xml:space="preserve">intensity</w:t>
      </w:r>
      <w:r>
        <w:t xml:space="preserve"> </w:t>
      </w:r>
      <w:r>
        <w:t xml:space="preserve">or the</w:t>
      </w:r>
      <w:r>
        <w:t xml:space="preserve"> </w:t>
      </w:r>
      <w:r>
        <w:rPr>
          <w:i/>
          <w:iCs/>
        </w:rPr>
        <w:t xml:space="preserve">pattern</w:t>
      </w:r>
      <w:r>
        <w:t xml:space="preserve"> </w:t>
      </w:r>
      <w:r>
        <w:t xml:space="preserve">of stress exposure.</w:t>
      </w:r>
    </w:p>
    <w:p>
      <w:pPr>
        <w:pStyle w:val="BodyText"/>
      </w:pPr>
      <w:r>
        <w:t xml:space="preserve">This comes with several covenient advantages and as many drawbacks.</w:t>
      </w:r>
    </w:p>
    <w:bookmarkStart w:id="666" w:name="cumulative-risk"/>
    <w:p>
      <w:pPr>
        <w:pStyle w:val="Heading4"/>
      </w:pPr>
      <w:r>
        <w:t xml:space="preserve">Cumulative risk</w:t>
      </w:r>
    </w:p>
    <w:p>
      <w:pPr>
        <w:pStyle w:val="FirstParagraph"/>
      </w:pPr>
      <w:r>
        <w:t xml:space="preserve">Cumulative risk scores are a straightforward way of identifying children at increased odds for developing a range of maladaptive outcomes. They are popular across fields – genetics parallel. They are a simple way to inject some order into a very complex world.</w:t>
      </w:r>
    </w:p>
    <w:p>
      <w:pPr>
        <w:pStyle w:val="BodyText"/>
      </w:pPr>
      <w:r>
        <w:t xml:space="preserve">The fundamental problem is that different sources of stress have different statistical properties. For example, some stressors are (largely) independent from one another (e.g., sickness and burglary), some may be mutually exclusive (e.g. death of a parent and divorce), others overlap (e.g., material deprivation and overcrowding). 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Combining multiple stress exposures in one single composite score is one way to capture this complexity. This technique has been argues to enhance prediction in several ways. For example, by reducing measurement error, enhancing validity (because no one single measure adequately captures the meaning and the variance of the construct of interest). Cumulative scores also avoid the issue of collinear predictors in the same general linear model, which may lead to unstable estimates and diminish statistical power.</w:t>
      </w:r>
    </w:p>
    <w:p>
      <w:pPr>
        <w:pStyle w:val="BodyText"/>
      </w:pPr>
      <w:r>
        <w:t xml:space="preserve">Indeed, picking a single stressor, say noise exposure, without taking into account overlapping risk factors could overestimate the harmful impacts of that predictor. On the other hand noise by itself may have negligible impact except when accompanied by household disadvantage. In the latter case, by isolating the singular impact of noise exposure we might erroneously conclude that noise does not matter. Another way to think about this is that perhaps there is no</w:t>
      </w:r>
      <w:r>
        <w:t xml:space="preserve"> </w:t>
      </w:r>
      <w:r>
        <w:rPr>
          <w:i/>
          <w:iCs/>
        </w:rPr>
        <w:t xml:space="preserve">main effect</w:t>
      </w:r>
      <w:r>
        <w:t xml:space="preserve"> </w:t>
      </w:r>
      <w:r>
        <w:t xml:space="preserve">of noise but an interaction or moderator effect.Noise matters but only in the presence of certain other variables.</w:t>
      </w:r>
    </w:p>
    <w:p>
      <w:pPr>
        <w:pStyle w:val="BodyText"/>
      </w:pPr>
      <w:r>
        <w:t xml:space="preserve">No free lunch:</w:t>
      </w:r>
      <w:r>
        <w:t xml:space="preserve"> </w:t>
      </w:r>
      <w:r>
        <w:t xml:space="preserve">It does not take into account interaction between the individual stressors. The use interactive, nonadditive model of multiple risks is often not possible when a large number of risk factors are under consideration. Using additive models is a common approach for dealing with this dilemma.</w:t>
      </w:r>
    </w:p>
    <w:p>
      <w:pPr>
        <w:pStyle w:val="BodyText"/>
      </w:pPr>
      <w:r>
        <w:t xml:space="preserve">But is there a</w:t>
      </w:r>
      <w:r>
        <w:t xml:space="preserve"> </w:t>
      </w:r>
      <w:r>
        <w:t xml:space="preserve">“better”</w:t>
      </w:r>
      <w:r>
        <w:t xml:space="preserve"> </w:t>
      </w:r>
      <w:r>
        <w:t xml:space="preserve">way?</w:t>
      </w:r>
    </w:p>
    <w:bookmarkEnd w:id="666"/>
    <w:bookmarkStart w:id="667" w:name="stress-patterns"/>
    <w:p>
      <w:pPr>
        <w:pStyle w:val="Heading4"/>
      </w:pPr>
      <w:r>
        <w:t xml:space="preserve">Stress</w:t>
      </w:r>
      <w:r>
        <w:t xml:space="preserve"> </w:t>
      </w:r>
      <w:r>
        <w:t xml:space="preserve">“patterns”</w:t>
      </w:r>
    </w:p>
    <w:p>
      <w:pPr>
        <w:pStyle w:val="Compact"/>
        <w:numPr>
          <w:ilvl w:val="0"/>
          <w:numId w:val="1007"/>
        </w:numPr>
      </w:pPr>
      <w:r>
        <w:t xml:space="preserve">prediction model rf</w:t>
      </w:r>
    </w:p>
    <w:bookmarkEnd w:id="667"/>
    <w:bookmarkStart w:id="668" w:name="Xbd26ac2c1e111f3dcf51d14acb33989486ed1b4"/>
    <w:p>
      <w:pPr>
        <w:pStyle w:val="Heading4"/>
      </w:pPr>
      <w:r>
        <w:t xml:space="preserve">missing pieces: resilience and stress intensity</w:t>
      </w:r>
    </w:p>
    <w:p>
      <w:pPr>
        <w:pStyle w:val="Compact"/>
        <w:numPr>
          <w:ilvl w:val="0"/>
          <w:numId w:val="1008"/>
        </w:numPr>
      </w:pPr>
      <w:r>
        <w:t xml:space="preserve">difficult to measure</w:t>
      </w:r>
    </w:p>
    <w:bookmarkEnd w:id="668"/>
    <w:bookmarkStart w:id="669" w:name="parental-reports"/>
    <w:p>
      <w:pPr>
        <w:pStyle w:val="Heading4"/>
      </w:pPr>
      <w:r>
        <w:t xml:space="preserve">Parental reports</w:t>
      </w:r>
    </w:p>
    <w:p>
      <w:pPr>
        <w:pStyle w:val="FirstParagraph"/>
      </w:pPr>
      <w:r>
        <w:t xml:space="preserve">Like most studies in the literature, information about childhood (and gestational) stress exposure was obtained by asking their parents. This is obviously a major limitation in this field of research. At best, these reports are likely to reflect a combination of parents’ own stress experiences, psychological state, and personality…</w:t>
      </w:r>
    </w:p>
    <w:bookmarkEnd w:id="669"/>
    <w:bookmarkEnd w:id="670"/>
    <w:bookmarkStart w:id="671" w:name="modelling-adolescent-mental-health"/>
    <w:p>
      <w:pPr>
        <w:pStyle w:val="Heading3"/>
      </w:pPr>
      <w:r>
        <w:t xml:space="preserve">Modelling (adolescent) mental health</w:t>
      </w:r>
    </w:p>
    <w:p>
      <w:pPr>
        <w:pStyle w:val="Compact"/>
        <w:numPr>
          <w:ilvl w:val="0"/>
          <w:numId w:val="1009"/>
        </w:numPr>
      </w:pPr>
      <w:r>
        <w:t xml:space="preserve">are we asking the right people? parental reports</w:t>
      </w:r>
    </w:p>
    <w:p>
      <w:pPr>
        <w:pStyle w:val="Compact"/>
        <w:numPr>
          <w:ilvl w:val="0"/>
          <w:numId w:val="1009"/>
        </w:numPr>
      </w:pPr>
      <w:r>
        <w:t xml:space="preserve">are we asking the right questions (probably not)? –&gt; old data: old insights</w:t>
      </w:r>
    </w:p>
    <w:p>
      <w:pPr>
        <w:pStyle w:val="Compact"/>
        <w:numPr>
          <w:ilvl w:val="0"/>
          <w:numId w:val="1009"/>
        </w:numPr>
      </w:pPr>
      <w:r>
        <w:t xml:space="preserve">the</w:t>
      </w:r>
      <w:r>
        <w:t xml:space="preserve"> </w:t>
      </w:r>
      <w:r>
        <w:t xml:space="preserve">“implicit”</w:t>
      </w:r>
      <w:r>
        <w:t xml:space="preserve"> </w:t>
      </w:r>
      <w:r>
        <w:t xml:space="preserve">causal model of cumulative mental health scores</w:t>
      </w:r>
    </w:p>
    <w:p>
      <w:pPr>
        <w:pStyle w:val="Compact"/>
        <w:numPr>
          <w:ilvl w:val="0"/>
          <w:numId w:val="1009"/>
        </w:numPr>
      </w:pPr>
      <w:r>
        <w:t xml:space="preserve">alterative approaches: network analysis</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p>
      <w:pPr>
        <w:pStyle w:val="BodyText"/>
      </w:pPr>
      <w:r>
        <w:t xml:space="preserve">Note: Other measures of adolescent behaviour, e.g., externalizing problems, could represent interesting targets for future studies in the field….</w:t>
      </w:r>
    </w:p>
    <w:bookmarkEnd w:id="671"/>
    <w:bookmarkStart w:id="674" w:name="Xc18fbf299e09be72a999159600480ec8261620f"/>
    <w:p>
      <w:pPr>
        <w:pStyle w:val="Heading3"/>
      </w:pPr>
      <w:r>
        <w:t xml:space="preserve">Modelling (adolescent) cardio-metabolic risk</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that.</w:t>
      </w:r>
    </w:p>
    <w:bookmarkStart w:id="672" w:name="bmi"/>
    <w:p>
      <w:pPr>
        <w:pStyle w:val="Heading4"/>
      </w:pPr>
      <w:r>
        <w:t xml:space="preserve">BMI</w:t>
      </w:r>
    </w:p>
    <w:p>
      <w:pPr>
        <w:pStyle w:val="FirstParagraph"/>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672"/>
    <w:bookmarkStart w:id="673" w:name="crp"/>
    <w:p>
      <w:pPr>
        <w:pStyle w:val="Heading4"/>
      </w:pPr>
      <w:r>
        <w:t xml:space="preserve">CRP</w:t>
      </w:r>
    </w:p>
    <w:bookmarkEnd w:id="673"/>
    <w:bookmarkEnd w:id="674"/>
    <w:bookmarkStart w:id="675" w:name="modelling-comorbidity"/>
    <w:p>
      <w:pPr>
        <w:pStyle w:val="Heading3"/>
      </w:pPr>
      <w:r>
        <w:t xml:space="preserve">Modelling comorbidity</w:t>
      </w:r>
    </w:p>
    <w:p>
      <w:pPr>
        <w:pStyle w:val="FirstParagraph"/>
      </w:pPr>
      <w:r>
        <w:t xml:space="preserve">“Together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Additionally, alterations in immune and hypothalamic-pituitary-adrenal axis functioning resulting from chronically high blood pressure could trigger neuroinflammation, further impairing brain development</w:t>
      </w:r>
    </w:p>
    <w:p>
      <w:pPr>
        <w:numPr>
          <w:ilvl w:val="0"/>
          <w:numId w:val="1010"/>
        </w:numPr>
      </w:pPr>
      <w:r>
        <w:t xml:space="preserve">network model</w:t>
      </w:r>
    </w:p>
    <w:p>
      <w:pPr>
        <w:numPr>
          <w:ilvl w:val="0"/>
          <w:numId w:val="1010"/>
        </w:numPr>
      </w:pPr>
      <w:r>
        <w:t xml:space="preserve">temporal scale</w:t>
      </w:r>
    </w:p>
    <w:p>
      <w:pPr>
        <w:numPr>
          <w:ilvl w:val="0"/>
          <w:numId w:val="1010"/>
        </w:numPr>
      </w:pPr>
      <w:r>
        <w:t xml:space="preserve">direction</w:t>
      </w:r>
    </w:p>
    <w:p>
      <w:pPr>
        <w:numPr>
          <w:ilvl w:val="0"/>
          <w:numId w:val="1010"/>
        </w:numPr>
      </w:pPr>
      <w:r>
        <w:t xml:space="preserve">“proximal”</w:t>
      </w:r>
      <w:r>
        <w:t xml:space="preserve"> </w:t>
      </w:r>
      <w:r>
        <w:t xml:space="preserve">causes</w:t>
      </w:r>
    </w:p>
    <w:bookmarkEnd w:id="675"/>
    <w:bookmarkEnd w:id="676"/>
    <w:bookmarkStart w:id="682" w:name="causal-ish-inferences"/>
    <w:p>
      <w:pPr>
        <w:pStyle w:val="Heading2"/>
      </w:pPr>
      <w:r>
        <w:t xml:space="preserve">8.2 Causal</w:t>
      </w:r>
      <w:r>
        <w:rPr>
          <w:i/>
          <w:iCs/>
        </w:rPr>
        <w:t xml:space="preserve">-ish</w:t>
      </w:r>
      <w:r>
        <w:t xml:space="preserve"> </w:t>
      </w:r>
      <w:r>
        <w:t xml:space="preserve">inferences</w:t>
      </w:r>
    </w:p>
    <w:p>
      <w:pPr>
        <w:pStyle w:val="FirstParagraph"/>
      </w:pPr>
      <w:r>
        <w:t xml:space="preserve">In the four chapters enclosed in Part I of this thesis, I have tried to map the influence of ELS on physical and mental health, including some biomarkers. Part II then focused on the reciprocal influence between physical and mental health conditions. I say</w:t>
      </w:r>
      <w:r>
        <w:t xml:space="preserve"> </w:t>
      </w:r>
      <w:r>
        <w:t xml:space="preserve">“influence”</w:t>
      </w:r>
      <w:r>
        <w:t xml:space="preserve"> </w:t>
      </w:r>
      <w:r>
        <w:t xml:space="preserve">with cognition, mind you. I saw you raising your eyebrow.</w:t>
      </w:r>
      <w:r>
        <w:t xml:space="preserve"> </w:t>
      </w:r>
      <w:r>
        <w:rPr>
          <w:i/>
          <w:iCs/>
        </w:rPr>
        <w:t xml:space="preserve">“Causal wording, rephrase”</w:t>
      </w:r>
      <w:r>
        <w:t xml:space="preserve"> </w:t>
      </w:r>
      <w:r>
        <w:t xml:space="preserve">is among the most common co-author comments I’ve seen across the years, which should have surprised me after 3 university degrees, in three different fields, all dominated by the same mantra:</w:t>
      </w:r>
      <w:r>
        <w:t xml:space="preserve"> </w:t>
      </w:r>
      <w:r>
        <w:t xml:space="preserve">“correlation is not causation”</w:t>
      </w:r>
      <w:r>
        <w:t xml:space="preserve">.</w:t>
      </w:r>
    </w:p>
    <w:bookmarkStart w:id="677" w:name="good-and-bad-causal-variables"/>
    <w:p>
      <w:pPr>
        <w:pStyle w:val="Heading4"/>
      </w:pPr>
      <w:r>
        <w:t xml:space="preserve">“good”</w:t>
      </w:r>
      <w:r>
        <w:t xml:space="preserve"> </w:t>
      </w:r>
      <w:r>
        <w:t xml:space="preserve">and</w:t>
      </w:r>
      <w:r>
        <w:t xml:space="preserve"> </w:t>
      </w:r>
      <w:r>
        <w:t xml:space="preserve">“bad”</w:t>
      </w:r>
      <w:r>
        <w:t xml:space="preserve"> </w:t>
      </w:r>
      <w:r>
        <w:t xml:space="preserve">causal variables</w:t>
      </w:r>
    </w:p>
    <w:p>
      <w:pPr>
        <w:pStyle w:val="Compact"/>
        <w:numPr>
          <w:ilvl w:val="0"/>
          <w:numId w:val="1011"/>
        </w:numPr>
      </w:pPr>
      <w:r>
        <w:t xml:space="preserve">good causes but bad predictors (I don’t think so)</w:t>
      </w:r>
    </w:p>
    <w:bookmarkEnd w:id="677"/>
    <w:bookmarkStart w:id="678" w:name="where-the-hell-is-time"/>
    <w:p>
      <w:pPr>
        <w:pStyle w:val="Heading4"/>
      </w:pPr>
      <w:r>
        <w:t xml:space="preserve">Where (the hell) is</w:t>
      </w:r>
      <w:r>
        <w:t xml:space="preserve"> </w:t>
      </w:r>
      <w:r>
        <w:rPr>
          <w:b/>
          <w:bCs/>
        </w:rPr>
        <w:t xml:space="preserve">time</w:t>
      </w:r>
      <w:r>
        <w:t xml:space="preserve">?</w:t>
      </w:r>
    </w:p>
    <w:p>
      <w:pPr>
        <w:pStyle w:val="FirstParagraph"/>
      </w:pPr>
      <w:r>
        <w:t xml:space="preserve">Do bike accidents cause bruises?</w:t>
      </w:r>
    </w:p>
    <w:bookmarkEnd w:id="678"/>
    <w:bookmarkStart w:id="679" w:name="measurement-error-and-information-bias"/>
    <w:p>
      <w:pPr>
        <w:pStyle w:val="Heading4"/>
      </w:pPr>
      <w:r>
        <w:t xml:space="preserve">Measurement error and information bias</w:t>
      </w:r>
    </w:p>
    <w:p>
      <w:pPr>
        <w:pStyle w:val="FirstParagraph"/>
      </w:pPr>
      <w:r>
        <w:t xml:space="preserve">Our measurement of ELS, of the lifestyle behaviours and of internalizing / depressive symptoms rely primarily on parent reports, which might have introduced information bias.</w:t>
      </w:r>
    </w:p>
    <w:p>
      <w:pPr>
        <w:pStyle w:val="BodyText"/>
      </w:pPr>
      <w:hyperlink w:anchor="sec-chapter6">
        <w:r>
          <w:rPr>
            <w:rStyle w:val="Hyperlink"/>
          </w:rPr>
          <w:t xml:space="preserve">Chapter 6</w:t>
        </w:r>
      </w:hyperlink>
      <w:r>
        <w:t xml:space="preserve"> </w:t>
      </w:r>
      <w:r>
        <w:t xml:space="preserve">also shows these are not necessarily good proxies compared to self reports…</w:t>
      </w:r>
    </w:p>
    <w:bookmarkEnd w:id="679"/>
    <w:bookmarkStart w:id="680" w:name="selection-bias"/>
    <w:p>
      <w:pPr>
        <w:pStyle w:val="Heading4"/>
      </w:pPr>
      <w:r>
        <w:t xml:space="preserve">Selection bias</w:t>
      </w:r>
    </w:p>
    <w:p>
      <w:pPr>
        <w:pStyle w:val="FirstParagraph"/>
      </w:pPr>
      <w:r>
        <w:t xml:space="preserve">Let’s talk about something we did do right (I think)</w:t>
      </w:r>
    </w:p>
    <w:p>
      <w:pPr>
        <w:pStyle w:val="Compact"/>
        <w:numPr>
          <w:ilvl w:val="0"/>
          <w:numId w:val="1012"/>
        </w:numPr>
      </w:pPr>
      <w:r>
        <w:t xml:space="preserve">lifestyle interventions based on observational studies?</w:t>
      </w:r>
    </w:p>
    <w:bookmarkEnd w:id="680"/>
    <w:bookmarkStart w:id="681" w:name="unethical-causal-models"/>
    <w:p>
      <w:pPr>
        <w:pStyle w:val="Heading4"/>
      </w:pPr>
      <w:r>
        <w:rPr>
          <w:i/>
          <w:iCs/>
        </w:rPr>
        <w:t xml:space="preserve">unethical</w:t>
      </w:r>
      <w:r>
        <w:t xml:space="preserve"> </w:t>
      </w:r>
      <w:r>
        <w:t xml:space="preserve">causal models</w:t>
      </w:r>
    </w:p>
    <w:p>
      <w:pPr>
        <w:pStyle w:val="Compact"/>
        <w:numPr>
          <w:ilvl w:val="0"/>
          <w:numId w:val="1013"/>
        </w:numPr>
      </w:pPr>
      <w:r>
        <w:t xml:space="preserve">socio-economic status as a confounder</w:t>
      </w:r>
    </w:p>
    <w:p>
      <w:pPr>
        <w:pStyle w:val="Compact"/>
        <w:numPr>
          <w:ilvl w:val="0"/>
          <w:numId w:val="1013"/>
        </w:numPr>
      </w:pPr>
      <w:r>
        <w:t xml:space="preserve">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681"/>
    <w:bookmarkEnd w:id="682"/>
    <w:bookmarkStart w:id="687" w:name="science-is-dead-and-we-have-killed-it"/>
    <w:p>
      <w:pPr>
        <w:pStyle w:val="Heading2"/>
      </w:pPr>
      <w:r>
        <w:t xml:space="preserve">8.3 Science is dead (and we have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p>
    <w:bookmarkStart w:id="684" w:name="this-is-grim-i-mean-really-grim"/>
    <w:p>
      <w:pPr>
        <w:pStyle w:val="Heading3"/>
      </w:pPr>
      <w:r>
        <w:t xml:space="preserve">This is grim, I mean really grim</w:t>
      </w:r>
    </w:p>
    <w:p>
      <w:pPr>
        <w:pStyle w:val="FirstParagraph"/>
      </w:pPr>
      <w:r>
        <w:t xml:space="preserve">Studies with null findings are less likely to be published than those with statistically significant results.</w:t>
      </w:r>
    </w:p>
    <w:bookmarkStart w:id="683" w:name="Xc4f1d76160c5fb6b572b95fa1109bfd3a3da6e5"/>
    <w:p>
      <w:pPr>
        <w:pStyle w:val="Heading4"/>
      </w:pPr>
      <w:r>
        <w:t xml:space="preserve">code is the scientific product, the paper is just advertisement</w:t>
      </w:r>
    </w:p>
    <w:bookmarkEnd w:id="683"/>
    <w:bookmarkEnd w:id="684"/>
    <w:bookmarkStart w:id="685" w:name="on-the-professionalization-of-science"/>
    <w:p>
      <w:pPr>
        <w:pStyle w:val="Heading3"/>
      </w:pPr>
      <w:r>
        <w:t xml:space="preserve">On the professionalization of science</w:t>
      </w:r>
    </w:p>
    <w:p>
      <w:pPr>
        <w:pStyle w:val="Compact"/>
        <w:numPr>
          <w:ilvl w:val="0"/>
          <w:numId w:val="1014"/>
        </w:numPr>
      </w:pPr>
      <w:r>
        <w:t xml:space="preserve">git</w:t>
      </w:r>
    </w:p>
    <w:p>
      <w:pPr>
        <w:pStyle w:val="Compact"/>
        <w:numPr>
          <w:ilvl w:val="0"/>
          <w:numId w:val="1014"/>
        </w:numPr>
      </w:pPr>
      <w:r>
        <w:t xml:space="preserve">testing</w:t>
      </w:r>
    </w:p>
    <w:bookmarkEnd w:id="685"/>
    <w:bookmarkStart w:id="686" w:name="on-the-uselessness-of-journals"/>
    <w:p>
      <w:pPr>
        <w:pStyle w:val="Heading3"/>
      </w:pPr>
      <w:r>
        <w:t xml:space="preserve">On the uselessness of journals</w:t>
      </w:r>
    </w:p>
    <w:p>
      <w:pPr>
        <w:pStyle w:val="FirstParagraph"/>
      </w:pPr>
      <w:r>
        <w:t xml:space="preserve">Journals should not gatekeep knowledge.</w:t>
      </w:r>
    </w:p>
    <w:p>
      <w:pPr>
        <w:pStyle w:val="BodyText"/>
      </w:pPr>
      <w:r>
        <w:t xml:space="preserve">The academic publishing dream: You do the research - You write the paper - You review someone else’s paper (for free) - Then you pay to publish your own - And your university pays again so others can read it.</w:t>
      </w:r>
      <w:r>
        <w:t xml:space="preserve"> </w:t>
      </w:r>
      <w:r>
        <w:t xml:space="preserve">Meanwhile, publishers sit back and make hugh profits — built on public funding, unpaid labor, and a prestige system they didn’t create but fully exploit.</w:t>
      </w:r>
    </w:p>
    <w:p>
      <w:pPr>
        <w:pStyle w:val="BodyText"/>
      </w:pPr>
      <w:r>
        <w:t xml:space="preserve">And we keep playing along</w:t>
      </w:r>
    </w:p>
    <w:p>
      <w:pPr>
        <w:pStyle w:val="BodyText"/>
      </w:pPr>
      <w:r>
        <w:t xml:space="preserve">Maybe it’s time we stop pretending this is normal. There are alternatives. Fair, open, non-profit models exist — run by researchers for researchers. Think community-owned journals, preprints, and platforms that don’t turn scientific knowledge into a paywall business. We don’t need to burn down the system — we just need to stop feeding it.</w:t>
      </w:r>
    </w:p>
    <w:p>
      <w:pPr>
        <w:pStyle w:val="BodyText"/>
      </w:pPr>
      <w:r>
        <w:t xml:space="preserve">It is about time academics and academic leaders learn the craft of negotiating. Had they had it, things might have ended differently and they (and the tax payer) would not have been exploited in this ridiculous way. Perhaps it is not too late yet: get organised and bargain. Publishers are not invincible!</w:t>
      </w:r>
      <w:r>
        <w:t xml:space="preserve"> </w:t>
      </w:r>
      <w:r>
        <w:t xml:space="preserve">If there is such a sincere agreement in academic community that the current model is not sustainable, then where are lawsuits?</w:t>
      </w:r>
    </w:p>
    <w:p>
      <w:pPr>
        <w:pStyle w:val="BodyText"/>
      </w:pPr>
      <w:r>
        <w:t xml:space="preserve">And why such lawsuits are not brought up by national-level funding watchdogs, as after all it is mostly public funding that’s being extracted via scientific publication process to… where?</w:t>
      </w:r>
    </w:p>
    <w:p>
      <w:pPr>
        <w:pStyle w:val="BodyText"/>
      </w:pPr>
      <w:r>
        <w:t xml:space="preserve">https://news.justia.com/antitrust-lawsuit-brought-against-academic-publishers-for-peer-review-and-submission-restrictions/</w:t>
      </w:r>
    </w:p>
    <w:bookmarkEnd w:id="686"/>
    <w:bookmarkEnd w:id="687"/>
    <w:bookmarkStart w:id="692" w:name="conclusions-3"/>
    <w:p>
      <w:pPr>
        <w:pStyle w:val="Heading2"/>
      </w:pPr>
      <w:r>
        <w:t xml:space="preserve">8.4 Conclusions</w:t>
      </w:r>
    </w:p>
    <w:p>
      <w:pPr>
        <w:pStyle w:val="FirstParagraph"/>
      </w:pPr>
      <w:r>
        <w:t xml:space="preserve">Children starve and I still write bs</w:t>
      </w:r>
    </w:p>
    <w:bookmarkStart w:id="688" w:name="so-what-was-this-all-for"/>
    <w:p>
      <w:pPr>
        <w:pStyle w:val="Heading3"/>
      </w:pPr>
      <w:r>
        <w:t xml:space="preserve">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End w:id="688"/>
    <w:bookmarkStart w:id="691"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689"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689"/>
    <w:bookmarkStart w:id="690"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p>
    <w:p>
      <w:pPr>
        <w:pStyle w:val="BodyText"/>
      </w:pP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690"/>
    <w:bookmarkEnd w:id="691"/>
    <w:bookmarkEnd w:id="692"/>
    <w:bookmarkStart w:id="693" w:name="references-7"/>
    <w:p>
      <w:pPr>
        <w:pStyle w:val="Heading2"/>
      </w:pPr>
      <w:r>
        <w:t xml:space="preserve">References</w:t>
      </w:r>
    </w:p>
    <w:bookmarkEnd w:id="693"/>
    <w:bookmarkStart w:id="698" w:name="bibliography--8"/>
    <w:p>
      <w:pPr>
        <w:pStyle w:val="Heading2"/>
      </w:pPr>
      <w:r>
        <w:t xml:space="preserve">References</w:t>
      </w:r>
    </w:p>
    <w:bookmarkStart w:id="697" w:name="refs--8"/>
    <w:bookmarkStart w:id="694" w:name="ref-BrainDev2012"/>
    <w:p>
      <w:pPr>
        <w:pStyle w:val="FirstParagraph"/>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94"/>
    <w:bookmarkStart w:id="695"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49">
        <w:r>
          <w:rPr>
            <w:rStyle w:val="Hyperlink"/>
          </w:rPr>
          <w:t xml:space="preserve">https://doi.org/10.1038/s41366-021-00913-3</w:t>
        </w:r>
      </w:hyperlink>
    </w:p>
    <w:bookmarkEnd w:id="695"/>
    <w:bookmarkStart w:id="696"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52">
        <w:r>
          <w:rPr>
            <w:rStyle w:val="Hyperlink"/>
          </w:rPr>
          <w:t xml:space="preserve">https://doi.org/10.1007/s00429-020-02209-0</w:t>
        </w:r>
      </w:hyperlink>
    </w:p>
    <w:bookmarkEnd w:id="696"/>
    <w:bookmarkEnd w:id="697"/>
    <w:bookmarkEnd w:id="698"/>
    <w:bookmarkEnd w:id="699"/>
    <w:bookmarkStart w:id="898" w:name="bibliography"/>
    <w:p>
      <w:pPr>
        <w:pStyle w:val="Heading1"/>
      </w:pPr>
      <w:r>
        <w:t xml:space="preserve">References</w:t>
      </w:r>
    </w:p>
    <w:bookmarkStart w:id="897" w:name="refs"/>
    <w:bookmarkStart w:id="700"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700"/>
    <w:bookmarkStart w:id="701"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701"/>
    <w:bookmarkStart w:id="702"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702"/>
    <w:bookmarkStart w:id="703" w:name="ref-AlHazzouri2015"/>
    <w:p>
      <w:pPr>
        <w:pStyle w:val="Bibliography"/>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703"/>
    <w:bookmarkStart w:id="704" w:name="ref-Alateeq2022"/>
    <w:p>
      <w:pPr>
        <w:pStyle w:val="Bibliography"/>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93">
        <w:r>
          <w:rPr>
            <w:rStyle w:val="Hyperlink"/>
          </w:rPr>
          <w:t xml:space="preserve">https://doi.org/10.3390/jcm11113127</w:t>
        </w:r>
      </w:hyperlink>
    </w:p>
    <w:bookmarkEnd w:id="704"/>
    <w:bookmarkStart w:id="705"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705"/>
    <w:bookmarkStart w:id="706" w:name="ref-Angold1995"/>
    <w:p>
      <w:pPr>
        <w:pStyle w:val="Bibliography"/>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706"/>
    <w:bookmarkStart w:id="707"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707"/>
    <w:bookmarkStart w:id="708" w:name="ref-Ashwin2024"/>
    <w:p>
      <w:pPr>
        <w:pStyle w:val="Bibliography"/>
      </w:pPr>
      <w:r>
        <w:t xml:space="preserve">Ashwin, J., Shahi, M. K., &amp; Singh, A. (2024). Serum lipid level as a biomarker in depressive disorder: A cross-sectional case control study.</w:t>
      </w:r>
      <w:r>
        <w:t xml:space="preserve"> </w:t>
      </w:r>
      <w:r>
        <w:rPr>
          <w:i/>
          <w:iCs/>
        </w:rPr>
        <w:t xml:space="preserve">Archives of Biological Psychiatry</w:t>
      </w:r>
      <w:r>
        <w:t xml:space="preserve">,</w:t>
      </w:r>
      <w:r>
        <w:t xml:space="preserve"> </w:t>
      </w:r>
      <w:r>
        <w:rPr>
          <w:i/>
          <w:iCs/>
        </w:rPr>
        <w:t xml:space="preserve">2</w:t>
      </w:r>
      <w:r>
        <w:t xml:space="preserve">, 30–36.</w:t>
      </w:r>
    </w:p>
    <w:bookmarkEnd w:id="708"/>
    <w:bookmarkStart w:id="709"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709"/>
    <w:bookmarkStart w:id="710" w:name="ref-Badji2019"/>
    <w:p>
      <w:pPr>
        <w:pStyle w:val="Bibliography"/>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95">
        <w:r>
          <w:rPr>
            <w:rStyle w:val="Hyperlink"/>
          </w:rPr>
          <w:t xml:space="preserve">https://doi.org/10.1016/j.arr.2019.05.001</w:t>
        </w:r>
      </w:hyperlink>
    </w:p>
    <w:bookmarkEnd w:id="710"/>
    <w:bookmarkStart w:id="711" w:name="ref-Baradaran2020"/>
    <w:p>
      <w:pPr>
        <w:pStyle w:val="Bibliography"/>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97">
        <w:r>
          <w:rPr>
            <w:rStyle w:val="Hyperlink"/>
          </w:rPr>
          <w:t xml:space="preserve">https://doi.org/10.21037/atm-20-1939</w:t>
        </w:r>
      </w:hyperlink>
    </w:p>
    <w:bookmarkEnd w:id="711"/>
    <w:bookmarkStart w:id="712"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712"/>
    <w:bookmarkStart w:id="713"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713"/>
    <w:bookmarkStart w:id="714" w:name="ref-Bates2015"/>
    <w:p>
      <w:pPr>
        <w:pStyle w:val="Bibliography"/>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99">
        <w:r>
          <w:rPr>
            <w:rStyle w:val="Hyperlink"/>
          </w:rPr>
          <w:t xml:space="preserve">https://doi.org/10.18637/jss.v067.i01</w:t>
        </w:r>
      </w:hyperlink>
    </w:p>
    <w:bookmarkEnd w:id="714"/>
    <w:bookmarkStart w:id="715" w:name="ref-Beauchet2013"/>
    <w:p>
      <w:pPr>
        <w:pStyle w:val="Bibliography"/>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601">
        <w:r>
          <w:rPr>
            <w:rStyle w:val="Hyperlink"/>
          </w:rPr>
          <w:t xml:space="preserve">https://doi.org/10.1097/HJH.0b013e32836184b5</w:t>
        </w:r>
      </w:hyperlink>
    </w:p>
    <w:bookmarkEnd w:id="715"/>
    <w:bookmarkStart w:id="716" w:name="ref-Benjamini2001"/>
    <w:p>
      <w:pPr>
        <w:pStyle w:val="Bibliography"/>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716"/>
    <w:bookmarkStart w:id="717" w:name="ref-Berry2017"/>
    <w:p>
      <w:pPr>
        <w:pStyle w:val="Bibliography"/>
      </w:pPr>
      <w:r>
        <w:t xml:space="preserve">Berry, D., &amp; Willoughby, M. T. (2017). On the practical interpretability of cross-lagged panel models: Rethinking a developmental workhorse [Journal Article].</w:t>
      </w:r>
      <w:r>
        <w:t xml:space="preserve"> </w:t>
      </w:r>
      <w:r>
        <w:rPr>
          <w:i/>
          <w:iCs/>
        </w:rPr>
        <w:t xml:space="preserve">Child Dev</w:t>
      </w:r>
      <w:r>
        <w:t xml:space="preserve">,</w:t>
      </w:r>
      <w:r>
        <w:t xml:space="preserve"> </w:t>
      </w:r>
      <w:r>
        <w:rPr>
          <w:i/>
          <w:iCs/>
        </w:rPr>
        <w:t xml:space="preserve">88</w:t>
      </w:r>
      <w:r>
        <w:t xml:space="preserve">(4), 1186–1206.</w:t>
      </w:r>
      <w:r>
        <w:t xml:space="preserve"> </w:t>
      </w:r>
      <w:hyperlink r:id="rId458">
        <w:r>
          <w:rPr>
            <w:rStyle w:val="Hyperlink"/>
          </w:rPr>
          <w:t xml:space="preserve">https://doi.org/10.1111/cdev.12660</w:t>
        </w:r>
      </w:hyperlink>
    </w:p>
    <w:bookmarkEnd w:id="717"/>
    <w:bookmarkStart w:id="718"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718"/>
    <w:bookmarkStart w:id="719"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719"/>
    <w:bookmarkStart w:id="720"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720"/>
    <w:bookmarkStart w:id="721"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721"/>
    <w:bookmarkStart w:id="722" w:name="ref-Bradley2008"/>
    <w:p>
      <w:pPr>
        <w:pStyle w:val="Bibliography"/>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62">
        <w:r>
          <w:rPr>
            <w:rStyle w:val="Hyperlink"/>
          </w:rPr>
          <w:t xml:space="preserve">https://doi.org/10.1016/j.jpeds.2008.05.026</w:t>
        </w:r>
      </w:hyperlink>
    </w:p>
    <w:bookmarkEnd w:id="722"/>
    <w:bookmarkStart w:id="723" w:name="ref-BrainDev2012"/>
    <w:p>
      <w:pPr>
        <w:pStyle w:val="Bibliography"/>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723"/>
    <w:bookmarkStart w:id="724"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724"/>
    <w:bookmarkStart w:id="725"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725"/>
    <w:bookmarkStart w:id="726"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726"/>
    <w:bookmarkStart w:id="727"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727"/>
    <w:bookmarkStart w:id="728"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728"/>
    <w:bookmarkStart w:id="729" w:name="ref-Carey2014"/>
    <w:p>
      <w:pPr>
        <w:pStyle w:val="Bibliography"/>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64">
        <w:r>
          <w:rPr>
            <w:rStyle w:val="Hyperlink"/>
          </w:rPr>
          <w:t xml:space="preserve">https://doi.org/10.3399/bjgp14X677482</w:t>
        </w:r>
      </w:hyperlink>
    </w:p>
    <w:bookmarkEnd w:id="729"/>
    <w:bookmarkStart w:id="730"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730"/>
    <w:bookmarkStart w:id="731"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731"/>
    <w:bookmarkStart w:id="732" w:name="ref-Cermakova2020"/>
    <w:p>
      <w:pPr>
        <w:pStyle w:val="Bibliography"/>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606">
        <w:r>
          <w:rPr>
            <w:rStyle w:val="Hyperlink"/>
          </w:rPr>
          <w:t xml:space="preserve">https://doi.org/10.1093/gerona/glz039</w:t>
        </w:r>
      </w:hyperlink>
    </w:p>
    <w:bookmarkEnd w:id="732"/>
    <w:bookmarkStart w:id="733" w:name="ref-Chen2023"/>
    <w:p>
      <w:pPr>
        <w:pStyle w:val="Bibliography"/>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66">
        <w:r>
          <w:rPr>
            <w:rStyle w:val="Hyperlink"/>
          </w:rPr>
          <w:t xml:space="preserve">https://doi.org/10.1016/j.jad.2023.07.044</w:t>
        </w:r>
      </w:hyperlink>
    </w:p>
    <w:bookmarkEnd w:id="733"/>
    <w:bookmarkStart w:id="734"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734"/>
    <w:bookmarkStart w:id="735"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735"/>
    <w:bookmarkStart w:id="736"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736"/>
    <w:bookmarkStart w:id="737" w:name="ref-Cohen2019"/>
    <w:p>
      <w:pPr>
        <w:pStyle w:val="Bibliography"/>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68">
        <w:r>
          <w:rPr>
            <w:rStyle w:val="Hyperlink"/>
          </w:rPr>
          <w:t xml:space="preserve">https://doi.org/10.1007/s10578-019-00869-6</w:t>
        </w:r>
      </w:hyperlink>
    </w:p>
    <w:bookmarkEnd w:id="737"/>
    <w:bookmarkStart w:id="738"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738"/>
    <w:bookmarkStart w:id="739" w:name="ref-Curran2014"/>
    <w:p>
      <w:pPr>
        <w:pStyle w:val="Bibliography"/>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70">
        <w:r>
          <w:rPr>
            <w:rStyle w:val="Hyperlink"/>
          </w:rPr>
          <w:t xml:space="preserve">https://doi.org/10.1037/a0035297</w:t>
        </w:r>
      </w:hyperlink>
    </w:p>
    <w:bookmarkEnd w:id="739"/>
    <w:bookmarkStart w:id="740"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740"/>
    <w:bookmarkStart w:id="741" w:name="ref-Dangardt2019"/>
    <w:p>
      <w:pPr>
        <w:pStyle w:val="Bibliography"/>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72">
        <w:r>
          <w:rPr>
            <w:rStyle w:val="Hyperlink"/>
          </w:rPr>
          <w:t xml:space="preserve">https://doi.org/10.1016/S2352-4642(19)30105-1</w:t>
        </w:r>
      </w:hyperlink>
    </w:p>
    <w:bookmarkEnd w:id="741"/>
    <w:bookmarkStart w:id="742" w:name="ref-Dawson2021"/>
    <w:p>
      <w:pPr>
        <w:pStyle w:val="Bibliography"/>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608">
        <w:r>
          <w:rPr>
            <w:rStyle w:val="Hyperlink"/>
          </w:rPr>
          <w:t xml:space="preserve">https://doi.org/10.1007/s00467-021-05077-w</w:t>
        </w:r>
      </w:hyperlink>
    </w:p>
    <w:bookmarkEnd w:id="742"/>
    <w:bookmarkStart w:id="743" w:name="ref-DeGroot2013"/>
    <w:p>
      <w:pPr>
        <w:pStyle w:val="Bibliography"/>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743"/>
    <w:bookmarkStart w:id="744" w:name="ref-Defina2023"/>
    <w:p>
      <w:pPr>
        <w:pStyle w:val="Bibliography"/>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744"/>
    <w:bookmarkStart w:id="745" w:name="ref-Dencker2007"/>
    <w:p>
      <w:pPr>
        <w:pStyle w:val="Bibliography"/>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75">
        <w:r>
          <w:rPr>
            <w:rStyle w:val="Hyperlink"/>
          </w:rPr>
          <w:t xml:space="preserve">https://doi.org/10.1111/j.1475-097X.2007.00709.x</w:t>
        </w:r>
      </w:hyperlink>
    </w:p>
    <w:bookmarkEnd w:id="745"/>
    <w:bookmarkStart w:id="746"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746"/>
    <w:bookmarkStart w:id="747"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747"/>
    <w:bookmarkStart w:id="748"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748"/>
    <w:bookmarkStart w:id="749"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749"/>
    <w:bookmarkStart w:id="750"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750"/>
    <w:bookmarkStart w:id="751"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751"/>
    <w:bookmarkStart w:id="752"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752"/>
    <w:bookmarkStart w:id="753"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753"/>
    <w:bookmarkStart w:id="754"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754"/>
    <w:bookmarkStart w:id="755"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755"/>
    <w:bookmarkStart w:id="756"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756"/>
    <w:bookmarkStart w:id="757" w:name="ref-Fischl2012"/>
    <w:p>
      <w:pPr>
        <w:pStyle w:val="Bibliography"/>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611">
        <w:r>
          <w:rPr>
            <w:rStyle w:val="Hyperlink"/>
          </w:rPr>
          <w:t xml:space="preserve">https://doi.org/10.1016/j.neuroimage.2012.01.021</w:t>
        </w:r>
      </w:hyperlink>
    </w:p>
    <w:bookmarkEnd w:id="757"/>
    <w:bookmarkStart w:id="758"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758"/>
    <w:bookmarkStart w:id="759"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759"/>
    <w:bookmarkStart w:id="760" w:name="ref-Forman-Hoffman2007"/>
    <w:p>
      <w:pPr>
        <w:pStyle w:val="Bibliography"/>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77">
        <w:r>
          <w:rPr>
            <w:rStyle w:val="Hyperlink"/>
          </w:rPr>
          <w:t xml:space="preserve">https://doi.org/10.1093/geronb/62.1.s43</w:t>
        </w:r>
      </w:hyperlink>
    </w:p>
    <w:bookmarkEnd w:id="760"/>
    <w:bookmarkStart w:id="761"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761"/>
    <w:bookmarkStart w:id="762" w:name="ref-Fulton2022"/>
    <w:p>
      <w:pPr>
        <w:pStyle w:val="Bibliography"/>
      </w:pPr>
      <w:r>
        <w:t xml:space="preserve">Fulton, S., Décarie-Spain, L., Fioramonti, X., Guiard, B., &amp; Nakajima, S. (2022). The menace of obesity to depression and anxiety prevalence [Journal Article].</w:t>
      </w:r>
      <w:r>
        <w:t xml:space="preserve"> </w:t>
      </w:r>
      <w:r>
        <w:rPr>
          <w:i/>
          <w:iCs/>
        </w:rPr>
        <w:t xml:space="preserve">Trends Endocrinol Metab</w:t>
      </w:r>
      <w:r>
        <w:t xml:space="preserve">,</w:t>
      </w:r>
      <w:r>
        <w:t xml:space="preserve"> </w:t>
      </w:r>
      <w:r>
        <w:rPr>
          <w:i/>
          <w:iCs/>
        </w:rPr>
        <w:t xml:space="preserve">33</w:t>
      </w:r>
      <w:r>
        <w:t xml:space="preserve">(1), 18–35.</w:t>
      </w:r>
      <w:r>
        <w:t xml:space="preserve"> </w:t>
      </w:r>
      <w:hyperlink r:id="rId480">
        <w:r>
          <w:rPr>
            <w:rStyle w:val="Hyperlink"/>
          </w:rPr>
          <w:t xml:space="preserve">https://doi.org/10.1016/j.tem.2021.10.005</w:t>
        </w:r>
      </w:hyperlink>
    </w:p>
    <w:bookmarkEnd w:id="762"/>
    <w:bookmarkStart w:id="763"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763"/>
    <w:bookmarkStart w:id="764"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764"/>
    <w:bookmarkStart w:id="765"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765"/>
    <w:bookmarkStart w:id="766"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766"/>
    <w:bookmarkStart w:id="767"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767"/>
    <w:bookmarkStart w:id="768" w:name="ref-Groeschel2010"/>
    <w:p>
      <w:pPr>
        <w:pStyle w:val="Bibliography"/>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614">
        <w:r>
          <w:rPr>
            <w:rStyle w:val="Hyperlink"/>
          </w:rPr>
          <w:t xml:space="preserve">https://doi.org/10.1016/j.ijdevneu.2010.06.004</w:t>
        </w:r>
      </w:hyperlink>
    </w:p>
    <w:bookmarkEnd w:id="768"/>
    <w:bookmarkStart w:id="769"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769"/>
    <w:bookmarkStart w:id="770" w:name="ref-Haarasilta2004"/>
    <w:p>
      <w:pPr>
        <w:pStyle w:val="Bibliography"/>
      </w:pPr>
      <w:r>
        <w:t xml:space="preserve">Haarasilta, L. M., Marttunen, M. J., Kaprio, J. A., &amp; Aro, H. M. (2004). Correlates of depression in a representative nationwide sample of adolescents (15–19 years) and young adults (20–24 years) [Journal Article].</w:t>
      </w:r>
      <w:r>
        <w:t xml:space="preserve"> </w:t>
      </w:r>
      <w:r>
        <w:rPr>
          <w:i/>
          <w:iCs/>
        </w:rPr>
        <w:t xml:space="preserve">European Journal of Public Health</w:t>
      </w:r>
      <w:r>
        <w:t xml:space="preserve">,</w:t>
      </w:r>
      <w:r>
        <w:t xml:space="preserve"> </w:t>
      </w:r>
      <w:r>
        <w:rPr>
          <w:i/>
          <w:iCs/>
        </w:rPr>
        <w:t xml:space="preserve">14</w:t>
      </w:r>
      <w:r>
        <w:t xml:space="preserve">(3), 280–285.</w:t>
      </w:r>
      <w:r>
        <w:t xml:space="preserve"> </w:t>
      </w:r>
      <w:hyperlink r:id="rId483">
        <w:r>
          <w:rPr>
            <w:rStyle w:val="Hyperlink"/>
          </w:rPr>
          <w:t xml:space="preserve">https://doi.org/10.1093/eurpub/14.3.280</w:t>
        </w:r>
      </w:hyperlink>
    </w:p>
    <w:bookmarkEnd w:id="770"/>
    <w:bookmarkStart w:id="771" w:name="ref-Hamaker2015"/>
    <w:p>
      <w:pPr>
        <w:pStyle w:val="Bibliography"/>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85">
        <w:r>
          <w:rPr>
            <w:rStyle w:val="Hyperlink"/>
          </w:rPr>
          <w:t xml:space="preserve">https://doi.org/10.1037/a0038889</w:t>
        </w:r>
      </w:hyperlink>
    </w:p>
    <w:bookmarkEnd w:id="771"/>
    <w:bookmarkStart w:id="772"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772"/>
    <w:bookmarkStart w:id="773"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773"/>
    <w:bookmarkStart w:id="774" w:name="ref-Harris2009"/>
    <w:p>
      <w:pPr>
        <w:pStyle w:val="Bibliography"/>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87">
        <w:r>
          <w:rPr>
            <w:rStyle w:val="Hyperlink"/>
          </w:rPr>
          <w:t xml:space="preserve">https://doi.org/10.1016/j.jbi.2008.08.010</w:t>
        </w:r>
      </w:hyperlink>
    </w:p>
    <w:bookmarkEnd w:id="774"/>
    <w:bookmarkStart w:id="775"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775"/>
    <w:bookmarkStart w:id="776"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776"/>
    <w:bookmarkStart w:id="777"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777"/>
    <w:bookmarkStart w:id="778"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778"/>
    <w:bookmarkStart w:id="779"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779"/>
    <w:bookmarkStart w:id="780"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780"/>
    <w:bookmarkStart w:id="781"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781"/>
    <w:bookmarkStart w:id="782" w:name="ref-Hryhorczuk2013"/>
    <w:p>
      <w:pPr>
        <w:pStyle w:val="Bibliography"/>
      </w:pPr>
      <w:r>
        <w:t xml:space="preserve">Hryhorczuk, C., Sharma, S., &amp; Fulton, S. E. (2013). Metabolic disturbances connecting obesity and depression [Journal Article].</w:t>
      </w:r>
      <w:r>
        <w:t xml:space="preserve"> </w:t>
      </w:r>
      <w:r>
        <w:rPr>
          <w:i/>
          <w:iCs/>
        </w:rPr>
        <w:t xml:space="preserve">Frontiers in Neuroscience</w:t>
      </w:r>
      <w:r>
        <w:t xml:space="preserve">,</w:t>
      </w:r>
      <w:r>
        <w:t xml:space="preserve"> </w:t>
      </w:r>
      <w:r>
        <w:rPr>
          <w:i/>
          <w:iCs/>
        </w:rPr>
        <w:t xml:space="preserve">7</w:t>
      </w:r>
      <w:r>
        <w:t xml:space="preserve">.</w:t>
      </w:r>
      <w:r>
        <w:t xml:space="preserve"> </w:t>
      </w:r>
      <w:hyperlink r:id="rId489">
        <w:r>
          <w:rPr>
            <w:rStyle w:val="Hyperlink"/>
          </w:rPr>
          <w:t xml:space="preserve">https://doi.org/10.3389/fnins.2013.00177</w:t>
        </w:r>
      </w:hyperlink>
    </w:p>
    <w:bookmarkEnd w:id="782"/>
    <w:bookmarkStart w:id="783" w:name="ref-Hu2022"/>
    <w:p>
      <w:pPr>
        <w:pStyle w:val="Bibliography"/>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616">
        <w:r>
          <w:rPr>
            <w:rStyle w:val="Hyperlink"/>
          </w:rPr>
          <w:t xml:space="preserve">https://doi.org/10.1001/jamanetworkopen.2022.1175</w:t>
        </w:r>
      </w:hyperlink>
    </w:p>
    <w:bookmarkEnd w:id="783"/>
    <w:bookmarkStart w:id="784"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784"/>
    <w:bookmarkStart w:id="785"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785"/>
    <w:bookmarkStart w:id="786"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786"/>
    <w:bookmarkStart w:id="787"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787"/>
    <w:bookmarkStart w:id="788"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788"/>
    <w:bookmarkStart w:id="789" w:name="ref-Jansen2013"/>
    <w:p>
      <w:pPr>
        <w:pStyle w:val="Bibliography"/>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91">
        <w:r>
          <w:rPr>
            <w:rStyle w:val="Hyperlink"/>
          </w:rPr>
          <w:t xml:space="preserve">https://doi.org/10.1016/j.acap.2012.12.001</w:t>
        </w:r>
      </w:hyperlink>
    </w:p>
    <w:bookmarkEnd w:id="789"/>
    <w:bookmarkStart w:id="790" w:name="ref-Jia2020"/>
    <w:p>
      <w:pPr>
        <w:pStyle w:val="Bibliography"/>
      </w:pPr>
      <w:r>
        <w:t xml:space="preserve">Jia, Q. F., Yang, H. X., Zhuang, N. N., Yin, X. Y., Zhu, Z. H., Yuan, Y., Yin, X. L., Wang, Y., Cheung, E. F. C., Chan, R. C. K., &amp; Hui, L. (2020). The role of lipoprotein profile in depression and cognitive performance: A network analysis [Journal Article].</w:t>
      </w:r>
      <w:r>
        <w:t xml:space="preserve"> </w:t>
      </w:r>
      <w:r>
        <w:rPr>
          <w:i/>
          <w:iCs/>
        </w:rPr>
        <w:t xml:space="preserve">Sci Rep</w:t>
      </w:r>
      <w:r>
        <w:t xml:space="preserve">,</w:t>
      </w:r>
      <w:r>
        <w:t xml:space="preserve"> </w:t>
      </w:r>
      <w:r>
        <w:rPr>
          <w:i/>
          <w:iCs/>
        </w:rPr>
        <w:t xml:space="preserve">10</w:t>
      </w:r>
      <w:r>
        <w:t xml:space="preserve">(1), 20704.</w:t>
      </w:r>
      <w:r>
        <w:t xml:space="preserve"> </w:t>
      </w:r>
      <w:hyperlink r:id="rId493">
        <w:r>
          <w:rPr>
            <w:rStyle w:val="Hyperlink"/>
          </w:rPr>
          <w:t xml:space="preserve">https://doi.org/10.1038/s41598-020-77782-9</w:t>
        </w:r>
      </w:hyperlink>
    </w:p>
    <w:bookmarkEnd w:id="790"/>
    <w:bookmarkStart w:id="791" w:name="ref-Jokela2023"/>
    <w:p>
      <w:pPr>
        <w:pStyle w:val="Bibliography"/>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95">
        <w:r>
          <w:rPr>
            <w:rStyle w:val="Hyperlink"/>
          </w:rPr>
          <w:t xml:space="preserve">https://doi.org/10.1016/j.jpsychires.2023.05.034</w:t>
        </w:r>
      </w:hyperlink>
    </w:p>
    <w:bookmarkEnd w:id="791"/>
    <w:bookmarkStart w:id="792"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792"/>
    <w:bookmarkStart w:id="793"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793"/>
    <w:bookmarkStart w:id="794"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794"/>
    <w:bookmarkStart w:id="795" w:name="ref-Khalfan2023"/>
    <w:p>
      <w:pPr>
        <w:pStyle w:val="Bibliography"/>
      </w:pPr>
      <w:r>
        <w:t xml:space="preserve">Khalfan, A. F., Campisi, S. C., Lo, R. F., McCrindle, B. W., &amp; Korczak, D. J. (2023). The association between adolescent depression and dyslipidemia.</w:t>
      </w:r>
      <w:r>
        <w:t xml:space="preserve"> </w:t>
      </w:r>
      <w:r>
        <w:rPr>
          <w:i/>
          <w:iCs/>
        </w:rPr>
        <w:t xml:space="preserve">Journal of Affective Disorders</w:t>
      </w:r>
      <w:r>
        <w:t xml:space="preserve">,</w:t>
      </w:r>
      <w:r>
        <w:t xml:space="preserve"> </w:t>
      </w:r>
      <w:r>
        <w:rPr>
          <w:i/>
          <w:iCs/>
        </w:rPr>
        <w:t xml:space="preserve">338</w:t>
      </w:r>
      <w:r>
        <w:t xml:space="preserve">, 239–245.</w:t>
      </w:r>
      <w:r>
        <w:t xml:space="preserve"> </w:t>
      </w:r>
      <w:hyperlink r:id="rId498">
        <w:r>
          <w:rPr>
            <w:rStyle w:val="Hyperlink"/>
          </w:rPr>
          <w:t xml:space="preserve">https://doi.org/10.1016/j.jad.2023.06.017</w:t>
        </w:r>
      </w:hyperlink>
    </w:p>
    <w:bookmarkEnd w:id="795"/>
    <w:bookmarkStart w:id="796" w:name="ref-Kline2016"/>
    <w:p>
      <w:pPr>
        <w:pStyle w:val="Bibliography"/>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796"/>
    <w:bookmarkStart w:id="797" w:name="ref-Konttinen2014"/>
    <w:p>
      <w:pPr>
        <w:pStyle w:val="Bibliography"/>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501">
        <w:r>
          <w:rPr>
            <w:rStyle w:val="Hyperlink"/>
          </w:rPr>
          <w:t xml:space="preserve">https://doi.org/10.1038/ijo.2013.151</w:t>
        </w:r>
      </w:hyperlink>
    </w:p>
    <w:bookmarkEnd w:id="797"/>
    <w:bookmarkStart w:id="798"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798"/>
    <w:bookmarkStart w:id="799"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799"/>
    <w:bookmarkStart w:id="800" w:name="ref-Kruger2021"/>
    <w:p>
      <w:pPr>
        <w:pStyle w:val="Bibliography"/>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619">
        <w:r>
          <w:rPr>
            <w:rStyle w:val="Hyperlink"/>
          </w:rPr>
          <w:t xml:space="preserve">https://doi.org/10.1007/s00467-020-04593-5</w:t>
        </w:r>
      </w:hyperlink>
    </w:p>
    <w:bookmarkEnd w:id="800"/>
    <w:bookmarkStart w:id="801" w:name="ref-Kwong2019"/>
    <w:p>
      <w:pPr>
        <w:pStyle w:val="Bibliography"/>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503">
        <w:r>
          <w:rPr>
            <w:rStyle w:val="Hyperlink"/>
          </w:rPr>
          <w:t xml:space="preserve">https://doi.org/10.12688/wellcomeopenres.15395.2</w:t>
        </w:r>
      </w:hyperlink>
    </w:p>
    <w:bookmarkEnd w:id="801"/>
    <w:bookmarkStart w:id="802" w:name="ref-Kyrou2006"/>
    <w:p>
      <w:pPr>
        <w:pStyle w:val="Bibliography"/>
      </w:pPr>
      <w:r>
        <w:t xml:space="preserve">Kyrou, I., Chrousos, G. P., &amp; Tsigos, C. (2006). Stress, visceral obesity, and metabolic complications [Journal Article].</w:t>
      </w:r>
      <w:r>
        <w:t xml:space="preserve"> </w:t>
      </w:r>
      <w:r>
        <w:rPr>
          <w:i/>
          <w:iCs/>
        </w:rPr>
        <w:t xml:space="preserve">Ann N Y Acad Sci</w:t>
      </w:r>
      <w:r>
        <w:t xml:space="preserve">,</w:t>
      </w:r>
      <w:r>
        <w:t xml:space="preserve"> </w:t>
      </w:r>
      <w:r>
        <w:rPr>
          <w:i/>
          <w:iCs/>
        </w:rPr>
        <w:t xml:space="preserve">1083</w:t>
      </w:r>
      <w:r>
        <w:t xml:space="preserve">, 77–110.</w:t>
      </w:r>
      <w:r>
        <w:t xml:space="preserve"> </w:t>
      </w:r>
      <w:hyperlink r:id="rId505">
        <w:r>
          <w:rPr>
            <w:rStyle w:val="Hyperlink"/>
          </w:rPr>
          <w:t xml:space="preserve">https://doi.org/10.1196/annals.1367.008</w:t>
        </w:r>
      </w:hyperlink>
    </w:p>
    <w:bookmarkEnd w:id="802"/>
    <w:bookmarkStart w:id="803" w:name="ref-Lamballais2018"/>
    <w:p>
      <w:pPr>
        <w:pStyle w:val="Bibliography"/>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621">
        <w:r>
          <w:rPr>
            <w:rStyle w:val="Hyperlink"/>
          </w:rPr>
          <w:t xml:space="preserve">https://doi.org/doi:10.1161/JAHA.118.009847</w:t>
        </w:r>
      </w:hyperlink>
    </w:p>
    <w:bookmarkEnd w:id="803"/>
    <w:bookmarkStart w:id="804" w:name="ref-Lande2019"/>
    <w:p>
      <w:pPr>
        <w:pStyle w:val="Bibliography"/>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623">
        <w:r>
          <w:rPr>
            <w:rStyle w:val="Hyperlink"/>
          </w:rPr>
          <w:t xml:space="preserve">https://doi.org/doi:10.1161/HYPERTENSIONAHA.118.11686</w:t>
        </w:r>
      </w:hyperlink>
    </w:p>
    <w:bookmarkEnd w:id="804"/>
    <w:bookmarkStart w:id="805"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805"/>
    <w:bookmarkStart w:id="806"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806"/>
    <w:bookmarkStart w:id="807" w:name="ref-Launer2015"/>
    <w:p>
      <w:pPr>
        <w:pStyle w:val="Bibliography"/>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807"/>
    <w:bookmarkStart w:id="808"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808"/>
    <w:bookmarkStart w:id="809"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809"/>
    <w:bookmarkStart w:id="810"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810"/>
    <w:bookmarkStart w:id="811" w:name="ref-Liu2013"/>
    <w:p>
      <w:pPr>
        <w:pStyle w:val="Bibliography"/>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508">
        <w:r>
          <w:rPr>
            <w:rStyle w:val="Hyperlink"/>
          </w:rPr>
          <w:t xml:space="preserve">https://doi.org/10.1186/1471-2458-13-629</w:t>
        </w:r>
      </w:hyperlink>
    </w:p>
    <w:bookmarkEnd w:id="811"/>
    <w:bookmarkStart w:id="812" w:name="ref-Lucas2022"/>
    <w:p>
      <w:pPr>
        <w:pStyle w:val="Bibliography"/>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626">
        <w:r>
          <w:rPr>
            <w:rStyle w:val="Hyperlink"/>
          </w:rPr>
          <w:t xml:space="preserve">https://doi.org/10.3389/fcvm.2022.973793</w:t>
        </w:r>
      </w:hyperlink>
    </w:p>
    <w:bookmarkEnd w:id="812"/>
    <w:bookmarkStart w:id="813" w:name="ref-Luppino2010"/>
    <w:p>
      <w:pPr>
        <w:pStyle w:val="Bibliography"/>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813"/>
    <w:bookmarkStart w:id="814"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814"/>
    <w:bookmarkStart w:id="815" w:name="ref-Maillard2017"/>
    <w:p>
      <w:pPr>
        <w:pStyle w:val="Bibliography"/>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815"/>
    <w:bookmarkStart w:id="816" w:name="ref-Maillard2016"/>
    <w:p>
      <w:pPr>
        <w:pStyle w:val="Bibliography"/>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816"/>
    <w:bookmarkStart w:id="817" w:name="ref-Maillard2012"/>
    <w:p>
      <w:pPr>
        <w:pStyle w:val="Bibliography"/>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817"/>
    <w:bookmarkStart w:id="818"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818"/>
    <w:bookmarkStart w:id="819"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819"/>
    <w:bookmarkStart w:id="820" w:name="ref-Mouliou2023"/>
    <w:p>
      <w:pPr>
        <w:pStyle w:val="Bibliography"/>
      </w:pPr>
      <w:r>
        <w:t xml:space="preserve">Mouliou, D. S. (2023). C-reactive protein: Pathophysiology, diagnosis, false test results and a novel diagnostic algorithm for clinicians [Journal Article].</w:t>
      </w:r>
      <w:r>
        <w:t xml:space="preserve"> </w:t>
      </w:r>
      <w:r>
        <w:rPr>
          <w:i/>
          <w:iCs/>
        </w:rPr>
        <w:t xml:space="preserve">Diseases</w:t>
      </w:r>
      <w:r>
        <w:t xml:space="preserve">,</w:t>
      </w:r>
      <w:r>
        <w:t xml:space="preserve"> </w:t>
      </w:r>
      <w:r>
        <w:rPr>
          <w:i/>
          <w:iCs/>
        </w:rPr>
        <w:t xml:space="preserve">11</w:t>
      </w:r>
      <w:r>
        <w:t xml:space="preserve">(4).</w:t>
      </w:r>
      <w:r>
        <w:t xml:space="preserve"> </w:t>
      </w:r>
      <w:hyperlink r:id="rId512">
        <w:r>
          <w:rPr>
            <w:rStyle w:val="Hyperlink"/>
          </w:rPr>
          <w:t xml:space="preserve">https://doi.org/10.3390/diseases11040132</w:t>
        </w:r>
      </w:hyperlink>
    </w:p>
    <w:bookmarkEnd w:id="820"/>
    <w:bookmarkStart w:id="821" w:name="ref-Muetzel2018"/>
    <w:p>
      <w:pPr>
        <w:pStyle w:val="Bibliography"/>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631">
        <w:r>
          <w:rPr>
            <w:rStyle w:val="Hyperlink"/>
          </w:rPr>
          <w:t xml:space="preserve">https://doi.org/10.1176/appi.ajp.2017.16070813</w:t>
        </w:r>
      </w:hyperlink>
    </w:p>
    <w:bookmarkEnd w:id="821"/>
    <w:bookmarkStart w:id="822" w:name="ref-Muetzel2019"/>
    <w:p>
      <w:pPr>
        <w:pStyle w:val="Bibliography"/>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633">
        <w:r>
          <w:rPr>
            <w:rStyle w:val="Hyperlink"/>
          </w:rPr>
          <w:t xml:space="preserve">https://doi.org/10.3389/fpsyt.2019.00696</w:t>
        </w:r>
      </w:hyperlink>
    </w:p>
    <w:bookmarkEnd w:id="822"/>
    <w:bookmarkStart w:id="823" w:name="ref-Murayama2024"/>
    <w:p>
      <w:pPr>
        <w:pStyle w:val="Bibliography"/>
      </w:pPr>
      <w:r>
        <w:t xml:space="preserve">Murayama, K., &amp; Gfrörer, T. (2024). Thinking clearly about time-invariant confounders in cross-lagged panel models: A guide for choosing a statistical model from a causal inference perspective.</w:t>
      </w:r>
      <w:r>
        <w:t xml:space="preserve"> </w:t>
      </w:r>
      <w:r>
        <w:rPr>
          <w:i/>
          <w:iCs/>
        </w:rPr>
        <w:t xml:space="preserve">Psychological Methods</w:t>
      </w:r>
      <w:r>
        <w:t xml:space="preserve">.</w:t>
      </w:r>
      <w:r>
        <w:t xml:space="preserve"> </w:t>
      </w:r>
      <w:hyperlink r:id="rId514">
        <w:r>
          <w:rPr>
            <w:rStyle w:val="Hyperlink"/>
          </w:rPr>
          <w:t xml:space="preserve">https://doi.org/110.1037/met0000647</w:t>
        </w:r>
      </w:hyperlink>
    </w:p>
    <w:bookmarkEnd w:id="823"/>
    <w:bookmarkStart w:id="824"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824"/>
    <w:bookmarkStart w:id="825" w:name="ref-NCD-RisC2017"/>
    <w:p>
      <w:pPr>
        <w:pStyle w:val="Bibliography"/>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825"/>
    <w:bookmarkStart w:id="826"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826"/>
    <w:bookmarkStart w:id="827" w:name="ref-Northstone2019"/>
    <w:p>
      <w:pPr>
        <w:pStyle w:val="Bibliography"/>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517">
        <w:r>
          <w:rPr>
            <w:rStyle w:val="Hyperlink"/>
          </w:rPr>
          <w:t xml:space="preserve">https://doi.org/10.12688/wellcomeopenres.15132.1</w:t>
        </w:r>
      </w:hyperlink>
    </w:p>
    <w:bookmarkEnd w:id="827"/>
    <w:bookmarkStart w:id="828"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828"/>
    <w:bookmarkStart w:id="829"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829"/>
    <w:bookmarkStart w:id="830"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830"/>
    <w:bookmarkStart w:id="831"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831"/>
    <w:bookmarkStart w:id="832" w:name="ref-Pase2016"/>
    <w:p>
      <w:pPr>
        <w:pStyle w:val="Bibliography"/>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635">
        <w:r>
          <w:rPr>
            <w:rStyle w:val="Hyperlink"/>
          </w:rPr>
          <w:t xml:space="preserve">https://doi.org/doi:10.1161/HYPERTENSIONAHA.115.06610</w:t>
        </w:r>
      </w:hyperlink>
    </w:p>
    <w:bookmarkEnd w:id="832"/>
    <w:bookmarkStart w:id="833" w:name="ref-Pasha2018"/>
    <w:p>
      <w:pPr>
        <w:pStyle w:val="Bibliography"/>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637">
        <w:r>
          <w:rPr>
            <w:rStyle w:val="Hyperlink"/>
          </w:rPr>
          <w:t xml:space="preserve">https://doi.org/10.1016/j.neurobiolaging.2018.02.012</w:t>
        </w:r>
      </w:hyperlink>
    </w:p>
    <w:bookmarkEnd w:id="833"/>
    <w:bookmarkStart w:id="834" w:name="ref-Patalay2019"/>
    <w:p>
      <w:pPr>
        <w:pStyle w:val="Bibliography"/>
      </w:pPr>
      <w:r>
        <w:t xml:space="preserve">Patalay, P., &amp; Gage, S. H. (2019a). Changes in millennial adolescent mental health and health-related behaviours over 10 years: A population cohort comparison study [Journal Article].</w:t>
      </w:r>
      <w:r>
        <w:t xml:space="preserve"> </w:t>
      </w:r>
      <w:r>
        <w:rPr>
          <w:i/>
          <w:iCs/>
        </w:rPr>
        <w:t xml:space="preserve">Int J Epidemiol</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834"/>
    <w:bookmarkStart w:id="835" w:name="ref-Patalay2019a"/>
    <w:p>
      <w:pPr>
        <w:pStyle w:val="Bibliography"/>
      </w:pPr>
      <w:r>
        <w:t xml:space="preserve">Patalay, P., &amp; Gage, S. H. (2019b).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835"/>
    <w:bookmarkStart w:id="836" w:name="ref-Patalay2019b"/>
    <w:p>
      <w:pPr>
        <w:pStyle w:val="Bibliography"/>
      </w:pPr>
      <w:r>
        <w:t xml:space="preserve">Patalay, P., &amp; Hardman, C. A. (2019). Comorbidity, codevelopment, and temporal associations between body mass index and internalizing symptoms from early childhood to adolescence [Journal Article].</w:t>
      </w:r>
      <w:r>
        <w:t xml:space="preserve"> </w:t>
      </w:r>
      <w:r>
        <w:rPr>
          <w:i/>
          <w:iCs/>
        </w:rPr>
        <w:t xml:space="preserve">JAMA Psychiatry</w:t>
      </w:r>
      <w:r>
        <w:t xml:space="preserve">,</w:t>
      </w:r>
      <w:r>
        <w:t xml:space="preserve"> </w:t>
      </w:r>
      <w:r>
        <w:rPr>
          <w:i/>
          <w:iCs/>
        </w:rPr>
        <w:t xml:space="preserve">76</w:t>
      </w:r>
      <w:r>
        <w:t xml:space="preserve">(7), 721–729.</w:t>
      </w:r>
      <w:r>
        <w:t xml:space="preserve"> </w:t>
      </w:r>
      <w:hyperlink r:id="rId520">
        <w:r>
          <w:rPr>
            <w:rStyle w:val="Hyperlink"/>
          </w:rPr>
          <w:t xml:space="preserve">https://doi.org/10.1001/jamapsychiatry.2019.0169</w:t>
        </w:r>
      </w:hyperlink>
    </w:p>
    <w:bookmarkEnd w:id="836"/>
    <w:bookmarkStart w:id="837"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837"/>
    <w:bookmarkStart w:id="838"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838"/>
    <w:bookmarkStart w:id="839" w:name="ref-Penninx2013"/>
    <w:p>
      <w:pPr>
        <w:pStyle w:val="Bibliography"/>
      </w:pPr>
      <w:r>
        <w:t xml:space="preserve">Penninx, B. W. J. H., Milaneschi, Y., Lamers, F., &amp; Vogelzangs, N. (2013). Understanding the somatic consequences of depression: Biological mechanisms and the role of depression symptom profile [Journal Article].</w:t>
      </w:r>
      <w:r>
        <w:t xml:space="preserve"> </w:t>
      </w:r>
      <w:r>
        <w:rPr>
          <w:i/>
          <w:iCs/>
        </w:rPr>
        <w:t xml:space="preserve">BMC Medicine</w:t>
      </w:r>
      <w:r>
        <w:t xml:space="preserve">,</w:t>
      </w:r>
      <w:r>
        <w:t xml:space="preserve"> </w:t>
      </w:r>
      <w:r>
        <w:rPr>
          <w:i/>
          <w:iCs/>
        </w:rPr>
        <w:t xml:space="preserve">11</w:t>
      </w:r>
      <w:r>
        <w:t xml:space="preserve">(1), 129.</w:t>
      </w:r>
      <w:r>
        <w:t xml:space="preserve"> </w:t>
      </w:r>
      <w:hyperlink r:id="rId522">
        <w:r>
          <w:rPr>
            <w:rStyle w:val="Hyperlink"/>
          </w:rPr>
          <w:t xml:space="preserve">https://doi.org/10.1186/1741-7015-11-129</w:t>
        </w:r>
      </w:hyperlink>
    </w:p>
    <w:bookmarkEnd w:id="839"/>
    <w:bookmarkStart w:id="840"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840"/>
    <w:bookmarkStart w:id="841" w:name="ref-Perrotta2018"/>
    <w:p>
      <w:pPr>
        <w:pStyle w:val="Bibliography"/>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639">
        <w:r>
          <w:rPr>
            <w:rStyle w:val="Hyperlink"/>
          </w:rPr>
          <w:t xml:space="preserve">https://doi.org/10.1007/s11906-018-0808-8</w:t>
        </w:r>
      </w:hyperlink>
    </w:p>
    <w:bookmarkEnd w:id="841"/>
    <w:bookmarkStart w:id="842"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842"/>
    <w:bookmarkStart w:id="843"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843"/>
    <w:bookmarkStart w:id="844"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844"/>
    <w:bookmarkStart w:id="845"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845"/>
    <w:bookmarkStart w:id="846" w:name="ref-Redel2022"/>
    <w:p>
      <w:pPr>
        <w:pStyle w:val="Bibliography"/>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641">
        <w:r>
          <w:rPr>
            <w:rStyle w:val="Hyperlink"/>
          </w:rPr>
          <w:t xml:space="preserve">https://doi.org/10.1111/pedi.13313</w:t>
        </w:r>
      </w:hyperlink>
    </w:p>
    <w:bookmarkEnd w:id="846"/>
    <w:bookmarkStart w:id="847"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847"/>
    <w:bookmarkStart w:id="848"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848"/>
    <w:bookmarkStart w:id="849" w:name="ref-Riley2018"/>
    <w:p>
      <w:pPr>
        <w:pStyle w:val="Bibliography"/>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849"/>
    <w:bookmarkStart w:id="850"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850"/>
    <w:bookmarkStart w:id="851" w:name="ref-Rosner2013"/>
    <w:p>
      <w:pPr>
        <w:pStyle w:val="Bibliography"/>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851"/>
    <w:bookmarkStart w:id="852" w:name="ref-Rosseel2012"/>
    <w:p>
      <w:pPr>
        <w:pStyle w:val="Bibliography"/>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525">
        <w:r>
          <w:rPr>
            <w:rStyle w:val="Hyperlink"/>
          </w:rPr>
          <w:t xml:space="preserve">https://doi.org/10.18637/jss.v048.i02</w:t>
        </w:r>
      </w:hyperlink>
    </w:p>
    <w:bookmarkEnd w:id="852"/>
    <w:bookmarkStart w:id="853" w:name="ref-Rubin1987"/>
    <w:p>
      <w:pPr>
        <w:pStyle w:val="Bibliography"/>
      </w:pPr>
      <w:r>
        <w:t xml:space="preserve">Rubin, D. B. (1987).</w:t>
      </w:r>
      <w:r>
        <w:t xml:space="preserve"> </w:t>
      </w:r>
      <w:r>
        <w:rPr>
          <w:i/>
          <w:iCs/>
        </w:rPr>
        <w:t xml:space="preserve">Multiple imputation for nonresponse in surveys</w:t>
      </w:r>
      <w:r>
        <w:t xml:space="preserve">. John Wiley &amp; Sons.</w:t>
      </w:r>
      <w:r>
        <w:t xml:space="preserve"> </w:t>
      </w:r>
      <w:hyperlink r:id="rId645">
        <w:r>
          <w:rPr>
            <w:rStyle w:val="Hyperlink"/>
          </w:rPr>
          <w:t xml:space="preserve">https://doi.org/10.1002/9780470316696</w:t>
        </w:r>
      </w:hyperlink>
    </w:p>
    <w:bookmarkEnd w:id="853"/>
    <w:bookmarkStart w:id="854"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854"/>
    <w:bookmarkStart w:id="855"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855"/>
    <w:bookmarkStart w:id="856"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856"/>
    <w:bookmarkStart w:id="857"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857"/>
    <w:bookmarkStart w:id="858" w:name="ref-Shah2014"/>
    <w:p>
      <w:pPr>
        <w:pStyle w:val="Bibliography"/>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47">
        <w:r>
          <w:rPr>
            <w:rStyle w:val="Hyperlink"/>
          </w:rPr>
          <w:t xml:space="preserve">https://doi.org/10.1093/aje/kwt312</w:t>
        </w:r>
      </w:hyperlink>
    </w:p>
    <w:bookmarkEnd w:id="858"/>
    <w:bookmarkStart w:id="859" w:name="ref-Shin2008"/>
    <w:p>
      <w:pPr>
        <w:pStyle w:val="Bibliography"/>
      </w:pPr>
      <w:r>
        <w:t xml:space="preserve">Shin, J. Y., Suls, J., &amp; Martin, R. (2008). Are cholesterol and depression inversely related? A meta-analysis of the association between two cardiac risk factors [Journal Article].</w:t>
      </w:r>
      <w:r>
        <w:t xml:space="preserve"> </w:t>
      </w:r>
      <w:r>
        <w:rPr>
          <w:i/>
          <w:iCs/>
        </w:rPr>
        <w:t xml:space="preserve">Ann Behav Med</w:t>
      </w:r>
      <w:r>
        <w:t xml:space="preserve">,</w:t>
      </w:r>
      <w:r>
        <w:t xml:space="preserve"> </w:t>
      </w:r>
      <w:r>
        <w:rPr>
          <w:i/>
          <w:iCs/>
        </w:rPr>
        <w:t xml:space="preserve">36</w:t>
      </w:r>
      <w:r>
        <w:t xml:space="preserve">(1), 33–43.</w:t>
      </w:r>
      <w:r>
        <w:t xml:space="preserve"> </w:t>
      </w:r>
      <w:hyperlink r:id="rId527">
        <w:r>
          <w:rPr>
            <w:rStyle w:val="Hyperlink"/>
          </w:rPr>
          <w:t xml:space="preserve">https://doi.org/10.1007/s12160-008-9045-8</w:t>
        </w:r>
      </w:hyperlink>
    </w:p>
    <w:bookmarkEnd w:id="859"/>
    <w:bookmarkStart w:id="860"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860"/>
    <w:bookmarkStart w:id="861" w:name="ref-Silva2021"/>
    <w:p>
      <w:pPr>
        <w:pStyle w:val="Bibliography"/>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49">
        <w:r>
          <w:rPr>
            <w:rStyle w:val="Hyperlink"/>
          </w:rPr>
          <w:t xml:space="preserve">https://doi.org/10.1038/s41366-021-00913-3</w:t>
        </w:r>
      </w:hyperlink>
    </w:p>
    <w:bookmarkEnd w:id="861"/>
    <w:bookmarkStart w:id="862" w:name="ref-Sjöberg2005"/>
    <w:p>
      <w:pPr>
        <w:pStyle w:val="Bibliography"/>
      </w:pPr>
      <w:r>
        <w:t xml:space="preserve">Sjöberg, R. L., Nilsson, K. W., &amp; Leppert, J. (2005). Obesity, shame, and depression in school-aged children: A population-based study [Journal Article].</w:t>
      </w:r>
      <w:r>
        <w:t xml:space="preserve"> </w:t>
      </w:r>
      <w:r>
        <w:rPr>
          <w:i/>
          <w:iCs/>
        </w:rPr>
        <w:t xml:space="preserve">Pediatrics</w:t>
      </w:r>
      <w:r>
        <w:t xml:space="preserve">,</w:t>
      </w:r>
      <w:r>
        <w:t xml:space="preserve"> </w:t>
      </w:r>
      <w:r>
        <w:rPr>
          <w:i/>
          <w:iCs/>
        </w:rPr>
        <w:t xml:space="preserve">116</w:t>
      </w:r>
      <w:r>
        <w:t xml:space="preserve">(3), e389–e392.</w:t>
      </w:r>
      <w:r>
        <w:t xml:space="preserve"> </w:t>
      </w:r>
      <w:hyperlink r:id="rId529">
        <w:r>
          <w:rPr>
            <w:rStyle w:val="Hyperlink"/>
          </w:rPr>
          <w:t xml:space="preserve">https://doi.org/10.1542/peds.2005-0170</w:t>
        </w:r>
      </w:hyperlink>
    </w:p>
    <w:bookmarkEnd w:id="862"/>
    <w:bookmarkStart w:id="863"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863"/>
    <w:bookmarkStart w:id="864" w:name="ref-Slavich2014"/>
    <w:p>
      <w:pPr>
        <w:pStyle w:val="Bibliography"/>
      </w:pPr>
      <w:r>
        <w:t xml:space="preserve">Slavich, G. M., &amp; Irwin, M. R. (2014). From stress to inflammation and major depressive disorder: A social signal transduction theory of depression [Journal Article].</w:t>
      </w:r>
      <w:r>
        <w:t xml:space="preserve"> </w:t>
      </w:r>
      <w:r>
        <w:rPr>
          <w:i/>
          <w:iCs/>
        </w:rPr>
        <w:t xml:space="preserve">Psychological Bulletin</w:t>
      </w:r>
      <w:r>
        <w:t xml:space="preserve">,</w:t>
      </w:r>
      <w:r>
        <w:t xml:space="preserve"> </w:t>
      </w:r>
      <w:r>
        <w:rPr>
          <w:i/>
          <w:iCs/>
        </w:rPr>
        <w:t xml:space="preserve">140</w:t>
      </w:r>
      <w:r>
        <w:t xml:space="preserve">(3), 774–815.</w:t>
      </w:r>
      <w:r>
        <w:t xml:space="preserve"> </w:t>
      </w:r>
      <w:hyperlink r:id="rId531">
        <w:r>
          <w:rPr>
            <w:rStyle w:val="Hyperlink"/>
          </w:rPr>
          <w:t xml:space="preserve">https://doi.org/10.1037/a0035302</w:t>
        </w:r>
      </w:hyperlink>
    </w:p>
    <w:bookmarkEnd w:id="864"/>
    <w:bookmarkStart w:id="865"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865"/>
    <w:bookmarkStart w:id="866" w:name="ref-Song2020"/>
    <w:p>
      <w:pPr>
        <w:pStyle w:val="Bibliography"/>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866"/>
    <w:bookmarkStart w:id="867"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867"/>
    <w:bookmarkStart w:id="868" w:name="ref-Steegers2021"/>
    <w:p>
      <w:pPr>
        <w:pStyle w:val="Bibliography"/>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52">
        <w:r>
          <w:rPr>
            <w:rStyle w:val="Hyperlink"/>
          </w:rPr>
          <w:t xml:space="preserve">https://doi.org/10.1007/s00429-020-02209-0</w:t>
        </w:r>
      </w:hyperlink>
    </w:p>
    <w:bookmarkEnd w:id="868"/>
    <w:bookmarkStart w:id="869"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869"/>
    <w:bookmarkStart w:id="870"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870"/>
    <w:bookmarkStart w:id="871"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871"/>
    <w:bookmarkStart w:id="872"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872"/>
    <w:bookmarkStart w:id="873"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873"/>
    <w:bookmarkStart w:id="874"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874"/>
    <w:bookmarkStart w:id="875" w:name="ref-Tsao2022"/>
    <w:p>
      <w:pPr>
        <w:pStyle w:val="Bibliography"/>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54">
        <w:r>
          <w:rPr>
            <w:rStyle w:val="Hyperlink"/>
          </w:rPr>
          <w:t xml:space="preserve">https://doi.org/10.1161/CIR.0000000000001052</w:t>
        </w:r>
      </w:hyperlink>
    </w:p>
    <w:bookmarkEnd w:id="875"/>
    <w:bookmarkStart w:id="876"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876"/>
    <w:bookmarkStart w:id="877"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877"/>
    <w:bookmarkStart w:id="878"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78"/>
    <w:bookmarkStart w:id="879" w:name="ref-Vanderwall2017"/>
    <w:p>
      <w:pPr>
        <w:pStyle w:val="Bibliography"/>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534">
        <w:r>
          <w:rPr>
            <w:rStyle w:val="Hyperlink"/>
          </w:rPr>
          <w:t xml:space="preserve">https://doi.org/10.1186/s12887-017-0891-z</w:t>
        </w:r>
      </w:hyperlink>
    </w:p>
    <w:bookmarkEnd w:id="879"/>
    <w:bookmarkStart w:id="880"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880"/>
    <w:bookmarkStart w:id="881"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881"/>
    <w:bookmarkStart w:id="882"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882"/>
    <w:bookmarkStart w:id="883" w:name="ref-Wang2022"/>
    <w:p>
      <w:pPr>
        <w:pStyle w:val="Bibliography"/>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56">
        <w:r>
          <w:rPr>
            <w:rStyle w:val="Hyperlink"/>
          </w:rPr>
          <w:t xml:space="preserve">https://doi.org/10.1016/j.jstrokecerebrovasdis.2022.106388</w:t>
        </w:r>
      </w:hyperlink>
    </w:p>
    <w:bookmarkEnd w:id="883"/>
    <w:bookmarkStart w:id="884"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884"/>
    <w:bookmarkStart w:id="885" w:name="ref-Weber-Hamann2006"/>
    <w:p>
      <w:pPr>
        <w:pStyle w:val="Bibliography"/>
      </w:pPr>
      <w:r>
        <w:t xml:space="preserve">Weber-Hamann, B., Werner, M., Hentschel, F., Bindeballe, N., Lederbogen, F., Deuschle, M., &amp; Heuser, I. (2006). Metabolic changes in elderly patients with major depression: Evidence for increased accumulation of visceral fat at follow-up [Journal Article].</w:t>
      </w:r>
      <w:r>
        <w:t xml:space="preserve"> </w:t>
      </w:r>
      <w:r>
        <w:rPr>
          <w:i/>
          <w:iCs/>
        </w:rPr>
        <w:t xml:space="preserve">Psychoneuroendocrinology</w:t>
      </w:r>
      <w:r>
        <w:t xml:space="preserve">,</w:t>
      </w:r>
      <w:r>
        <w:t xml:space="preserve"> </w:t>
      </w:r>
      <w:r>
        <w:rPr>
          <w:i/>
          <w:iCs/>
        </w:rPr>
        <w:t xml:space="preserve">31</w:t>
      </w:r>
      <w:r>
        <w:t xml:space="preserve">(3), 347–354.</w:t>
      </w:r>
      <w:r>
        <w:t xml:space="preserve"> </w:t>
      </w:r>
      <w:hyperlink r:id="rId536">
        <w:r>
          <w:rPr>
            <w:rStyle w:val="Hyperlink"/>
          </w:rPr>
          <w:t xml:space="preserve">https://doi.org/10.1016/j.psyneuen.2005.08.014</w:t>
        </w:r>
      </w:hyperlink>
    </w:p>
    <w:bookmarkEnd w:id="885"/>
    <w:bookmarkStart w:id="886"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886"/>
    <w:bookmarkStart w:id="887" w:name="ref-WHO2022"/>
    <w:p>
      <w:pPr>
        <w:pStyle w:val="Bibliography"/>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87"/>
    <w:bookmarkStart w:id="888"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88"/>
    <w:bookmarkStart w:id="889" w:name="ref-Wong2011"/>
    <w:p>
      <w:pPr>
        <w:pStyle w:val="Bibliography"/>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889"/>
    <w:bookmarkStart w:id="890" w:name="ref-WorldMedicalAssociation2013"/>
    <w:p>
      <w:pPr>
        <w:pStyle w:val="Bibliography"/>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59">
        <w:r>
          <w:rPr>
            <w:rStyle w:val="Hyperlink"/>
          </w:rPr>
          <w:t xml:space="preserve">https://doi.org/10.1001/jama.2013.281053</w:t>
        </w:r>
      </w:hyperlink>
    </w:p>
    <w:bookmarkEnd w:id="890"/>
    <w:bookmarkStart w:id="891" w:name="ref-Yang2020"/>
    <w:p>
      <w:pPr>
        <w:pStyle w:val="Bibliography"/>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61">
        <w:r>
          <w:rPr>
            <w:rStyle w:val="Hyperlink"/>
          </w:rPr>
          <w:t xml:space="preserve">https://doi.org/doi:10.1161/HYPERTENSIONAHA.119.14168</w:t>
        </w:r>
      </w:hyperlink>
    </w:p>
    <w:bookmarkEnd w:id="891"/>
    <w:bookmarkStart w:id="892"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892"/>
    <w:bookmarkStart w:id="893"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893"/>
    <w:bookmarkStart w:id="894" w:name="ref-Zhou2022"/>
    <w:p>
      <w:pPr>
        <w:pStyle w:val="Bibliography"/>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539">
        <w:r>
          <w:rPr>
            <w:rStyle w:val="Hyperlink"/>
          </w:rPr>
          <w:t xml:space="preserve">https://doi.org/10.1111/jcpp.13474</w:t>
        </w:r>
      </w:hyperlink>
    </w:p>
    <w:bookmarkEnd w:id="894"/>
    <w:bookmarkStart w:id="895"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95"/>
    <w:bookmarkStart w:id="896"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96"/>
    <w:bookmarkEnd w:id="897"/>
    <w:bookmarkEnd w:id="898"/>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114" Target="media/rId114.pdf" /><Relationship Type="http://schemas.openxmlformats.org/officeDocument/2006/relationships/image" Id="rId131" Target="media/rId131.pdf" /><Relationship Type="http://schemas.openxmlformats.org/officeDocument/2006/relationships/image" Id="rId136" Target="media/rId136.pdf" /><Relationship Type="http://schemas.openxmlformats.org/officeDocument/2006/relationships/image" Id="rId141" Target="media/rId141.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425" Target="media/rId425.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46" Target="media/rId546.png" /><Relationship Type="http://schemas.openxmlformats.org/officeDocument/2006/relationships/image" Id="rId570" Target="media/rId570.png" /><Relationship Type="http://schemas.openxmlformats.org/officeDocument/2006/relationships/image" Id="rId574" Target="media/rId574.png" /><Relationship Type="http://schemas.openxmlformats.org/officeDocument/2006/relationships/image" Id="rId579" Target="media/rId579.png" /><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59"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616"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20" Target="https://doi.org/10.1001/jamapsychiatry.2019.0169" TargetMode="External" /><Relationship Type="http://schemas.openxmlformats.org/officeDocument/2006/relationships/hyperlink" Id="rId645"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52" Target="https://doi.org/10.1007/s00429-020-02209-0" TargetMode="External" /><Relationship Type="http://schemas.openxmlformats.org/officeDocument/2006/relationships/hyperlink" Id="rId619" Target="https://doi.org/10.1007/s00467-020-04593-5" TargetMode="External" /><Relationship Type="http://schemas.openxmlformats.org/officeDocument/2006/relationships/hyperlink" Id="rId608" Target="https://doi.org/10.1007/s00467-021-05077-w" TargetMode="External" /><Relationship Type="http://schemas.openxmlformats.org/officeDocument/2006/relationships/hyperlink" Id="rId468"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639" Target="https://doi.org/10.1007/s11906-018-0808-8" TargetMode="External" /><Relationship Type="http://schemas.openxmlformats.org/officeDocument/2006/relationships/hyperlink" Id="rId527" Target="https://doi.org/10.1007/s12160-008-9045-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72"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91"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95"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614"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98" Target="https://doi.org/10.1016/j.jad.2023.06.017" TargetMode="External" /><Relationship Type="http://schemas.openxmlformats.org/officeDocument/2006/relationships/hyperlink" Id="rId466" Target="https://doi.org/10.1016/j.jad.2023.07.044" TargetMode="External" /><Relationship Type="http://schemas.openxmlformats.org/officeDocument/2006/relationships/hyperlink" Id="rId487"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62"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95" Target="https://doi.org/10.1016/j.jpsychires.2023.05.034" TargetMode="External" /><Relationship Type="http://schemas.openxmlformats.org/officeDocument/2006/relationships/hyperlink" Id="rId656"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637" Target="https://doi.org/10.1016/j.neurobiolaging.2018.02.012" TargetMode="External" /><Relationship Type="http://schemas.openxmlformats.org/officeDocument/2006/relationships/hyperlink" Id="rId611"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536" Target="https://doi.org/10.1016/j.psyneuen.2005.08.014" TargetMode="External" /><Relationship Type="http://schemas.openxmlformats.org/officeDocument/2006/relationships/hyperlink" Id="rId480" Target="https://doi.org/10.1016/j.tem.2021.10.005"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70" Target="https://doi.org/10.1037/a0035297" TargetMode="External" /><Relationship Type="http://schemas.openxmlformats.org/officeDocument/2006/relationships/hyperlink" Id="rId531" Target="https://doi.org/10.1037/a0035302" TargetMode="External" /><Relationship Type="http://schemas.openxmlformats.org/officeDocument/2006/relationships/hyperlink" Id="rId485"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501"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49"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493" Target="https://doi.org/10.1038/s41598-020-77782-9"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47"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483" Target="https://doi.org/10.1093/eurpub/14.3.280" TargetMode="External" /><Relationship Type="http://schemas.openxmlformats.org/officeDocument/2006/relationships/hyperlink" Id="rId606" Target="https://doi.org/10.1093/gerona/glz039" TargetMode="External" /><Relationship Type="http://schemas.openxmlformats.org/officeDocument/2006/relationships/hyperlink" Id="rId477"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601"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458" Target="https://doi.org/10.1111/cdev.1266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75"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539" Target="https://doi.org/10.1111/jcpp.13474" TargetMode="External" /><Relationship Type="http://schemas.openxmlformats.org/officeDocument/2006/relationships/hyperlink" Id="rId641"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54" Target="https://doi.org/10.1161/CIR.0000000000001052" TargetMode="External" /><Relationship Type="http://schemas.openxmlformats.org/officeDocument/2006/relationships/hyperlink" Id="rId544" Target="https://doi.org/10.1161/HYPERTENSIONAHA.123.21672" TargetMode="External" /><Relationship Type="http://schemas.openxmlformats.org/officeDocument/2006/relationships/hyperlink" Id="rId631"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508" Target="https://doi.org/10.1186/1471-2458-13-629" TargetMode="External" /><Relationship Type="http://schemas.openxmlformats.org/officeDocument/2006/relationships/hyperlink" Id="rId522" Target="https://doi.org/10.1186/1741-7015-11-129" TargetMode="External" /><Relationship Type="http://schemas.openxmlformats.org/officeDocument/2006/relationships/hyperlink" Id="rId534"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505" Target="https://doi.org/10.1196/annals.1367.008"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517" Target="https://doi.org/10.12688/wellcomeopenres.15132.1" TargetMode="External" /><Relationship Type="http://schemas.openxmlformats.org/officeDocument/2006/relationships/hyperlink" Id="rId503"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529" Target="https://doi.org/10.1542/peds.2005-0170"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525" Target="https://doi.org/10.18637/jss.v048.i02" TargetMode="External" /><Relationship Type="http://schemas.openxmlformats.org/officeDocument/2006/relationships/hyperlink" Id="rId599" Target="https://doi.org/10.18637/jss.v067.i01" TargetMode="External" /><Relationship Type="http://schemas.openxmlformats.org/officeDocument/2006/relationships/hyperlink" Id="rId597"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626" Target="https://doi.org/10.3389/fcvm.2022.973793" TargetMode="External" /><Relationship Type="http://schemas.openxmlformats.org/officeDocument/2006/relationships/hyperlink" Id="rId489" Target="https://doi.org/10.3389/fnins.2013.00177" TargetMode="External" /><Relationship Type="http://schemas.openxmlformats.org/officeDocument/2006/relationships/hyperlink" Id="rId337" Target="https://doi.org/10.3389/fphys.2020.00185" TargetMode="External" /><Relationship Type="http://schemas.openxmlformats.org/officeDocument/2006/relationships/hyperlink" Id="rId633" Target="https://doi.org/10.3389/fpsyt.2019.00696" TargetMode="External" /><Relationship Type="http://schemas.openxmlformats.org/officeDocument/2006/relationships/hyperlink" Id="rId512" Target="https://doi.org/10.3390/diseases11040132" TargetMode="External" /><Relationship Type="http://schemas.openxmlformats.org/officeDocument/2006/relationships/hyperlink" Id="rId593" Target="https://doi.org/10.3390/jcm11113127" TargetMode="External" /><Relationship Type="http://schemas.openxmlformats.org/officeDocument/2006/relationships/hyperlink" Id="rId464"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14" Target="https://doi.org/110.1037/met0000647" TargetMode="External" /><Relationship Type="http://schemas.openxmlformats.org/officeDocument/2006/relationships/hyperlink" Id="rId635" Target="https://doi.org/doi:10.1161/HYPERTENSIONAHA.115.06610" TargetMode="External" /><Relationship Type="http://schemas.openxmlformats.org/officeDocument/2006/relationships/hyperlink" Id="rId623" Target="https://doi.org/doi:10.1161/HYPERTENSIONAHA.118.11686" TargetMode="External" /><Relationship Type="http://schemas.openxmlformats.org/officeDocument/2006/relationships/hyperlink" Id="rId661" Target="https://doi.org/doi:10.1161/HYPERTENSIONAHA.119.14168" TargetMode="External" /><Relationship Type="http://schemas.openxmlformats.org/officeDocument/2006/relationships/hyperlink" Id="rId621" Target="https://doi.org/doi:10.1161/JAHA.118.009847" TargetMode="External" /><Relationship Type="http://schemas.openxmlformats.org/officeDocument/2006/relationships/hyperlink" Id="rId563" Target="https://fsl.fmrib.ox.ac.uk/fsl/" TargetMode="External" /><Relationship Type="http://schemas.openxmlformats.org/officeDocument/2006/relationships/hyperlink" Id="rId566"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60"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58"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59"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616"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20" Target="https://doi.org/10.1001/jamapsychiatry.2019.0169" TargetMode="External" /><Relationship Type="http://schemas.openxmlformats.org/officeDocument/2006/relationships/hyperlink" Id="rId645"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52" Target="https://doi.org/10.1007/s00429-020-02209-0" TargetMode="External" /><Relationship Type="http://schemas.openxmlformats.org/officeDocument/2006/relationships/hyperlink" Id="rId619" Target="https://doi.org/10.1007/s00467-020-04593-5" TargetMode="External" /><Relationship Type="http://schemas.openxmlformats.org/officeDocument/2006/relationships/hyperlink" Id="rId608" Target="https://doi.org/10.1007/s00467-021-05077-w" TargetMode="External" /><Relationship Type="http://schemas.openxmlformats.org/officeDocument/2006/relationships/hyperlink" Id="rId468"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639" Target="https://doi.org/10.1007/s11906-018-0808-8" TargetMode="External" /><Relationship Type="http://schemas.openxmlformats.org/officeDocument/2006/relationships/hyperlink" Id="rId527" Target="https://doi.org/10.1007/s12160-008-9045-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72"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91"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95"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614"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98" Target="https://doi.org/10.1016/j.jad.2023.06.017" TargetMode="External" /><Relationship Type="http://schemas.openxmlformats.org/officeDocument/2006/relationships/hyperlink" Id="rId466" Target="https://doi.org/10.1016/j.jad.2023.07.044" TargetMode="External" /><Relationship Type="http://schemas.openxmlformats.org/officeDocument/2006/relationships/hyperlink" Id="rId487"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62"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95" Target="https://doi.org/10.1016/j.jpsychires.2023.05.034" TargetMode="External" /><Relationship Type="http://schemas.openxmlformats.org/officeDocument/2006/relationships/hyperlink" Id="rId656"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637" Target="https://doi.org/10.1016/j.neurobiolaging.2018.02.012" TargetMode="External" /><Relationship Type="http://schemas.openxmlformats.org/officeDocument/2006/relationships/hyperlink" Id="rId611"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536" Target="https://doi.org/10.1016/j.psyneuen.2005.08.014" TargetMode="External" /><Relationship Type="http://schemas.openxmlformats.org/officeDocument/2006/relationships/hyperlink" Id="rId480" Target="https://doi.org/10.1016/j.tem.2021.10.005"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70" Target="https://doi.org/10.1037/a0035297" TargetMode="External" /><Relationship Type="http://schemas.openxmlformats.org/officeDocument/2006/relationships/hyperlink" Id="rId531" Target="https://doi.org/10.1037/a0035302" TargetMode="External" /><Relationship Type="http://schemas.openxmlformats.org/officeDocument/2006/relationships/hyperlink" Id="rId485"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501"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49"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493" Target="https://doi.org/10.1038/s41598-020-77782-9"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47"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483" Target="https://doi.org/10.1093/eurpub/14.3.280" TargetMode="External" /><Relationship Type="http://schemas.openxmlformats.org/officeDocument/2006/relationships/hyperlink" Id="rId606" Target="https://doi.org/10.1093/gerona/glz039" TargetMode="External" /><Relationship Type="http://schemas.openxmlformats.org/officeDocument/2006/relationships/hyperlink" Id="rId477"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601"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458" Target="https://doi.org/10.1111/cdev.1266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75"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539" Target="https://doi.org/10.1111/jcpp.13474" TargetMode="External" /><Relationship Type="http://schemas.openxmlformats.org/officeDocument/2006/relationships/hyperlink" Id="rId641"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54" Target="https://doi.org/10.1161/CIR.0000000000001052" TargetMode="External" /><Relationship Type="http://schemas.openxmlformats.org/officeDocument/2006/relationships/hyperlink" Id="rId544" Target="https://doi.org/10.1161/HYPERTENSIONAHA.123.21672" TargetMode="External" /><Relationship Type="http://schemas.openxmlformats.org/officeDocument/2006/relationships/hyperlink" Id="rId631"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508" Target="https://doi.org/10.1186/1471-2458-13-629" TargetMode="External" /><Relationship Type="http://schemas.openxmlformats.org/officeDocument/2006/relationships/hyperlink" Id="rId522" Target="https://doi.org/10.1186/1741-7015-11-129" TargetMode="External" /><Relationship Type="http://schemas.openxmlformats.org/officeDocument/2006/relationships/hyperlink" Id="rId534"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505" Target="https://doi.org/10.1196/annals.1367.008"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517" Target="https://doi.org/10.12688/wellcomeopenres.15132.1" TargetMode="External" /><Relationship Type="http://schemas.openxmlformats.org/officeDocument/2006/relationships/hyperlink" Id="rId503"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529" Target="https://doi.org/10.1542/peds.2005-0170"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525" Target="https://doi.org/10.18637/jss.v048.i02" TargetMode="External" /><Relationship Type="http://schemas.openxmlformats.org/officeDocument/2006/relationships/hyperlink" Id="rId599" Target="https://doi.org/10.18637/jss.v067.i01" TargetMode="External" /><Relationship Type="http://schemas.openxmlformats.org/officeDocument/2006/relationships/hyperlink" Id="rId597"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626" Target="https://doi.org/10.3389/fcvm.2022.973793" TargetMode="External" /><Relationship Type="http://schemas.openxmlformats.org/officeDocument/2006/relationships/hyperlink" Id="rId489" Target="https://doi.org/10.3389/fnins.2013.00177" TargetMode="External" /><Relationship Type="http://schemas.openxmlformats.org/officeDocument/2006/relationships/hyperlink" Id="rId337" Target="https://doi.org/10.3389/fphys.2020.00185" TargetMode="External" /><Relationship Type="http://schemas.openxmlformats.org/officeDocument/2006/relationships/hyperlink" Id="rId633" Target="https://doi.org/10.3389/fpsyt.2019.00696" TargetMode="External" /><Relationship Type="http://schemas.openxmlformats.org/officeDocument/2006/relationships/hyperlink" Id="rId512" Target="https://doi.org/10.3390/diseases11040132" TargetMode="External" /><Relationship Type="http://schemas.openxmlformats.org/officeDocument/2006/relationships/hyperlink" Id="rId593" Target="https://doi.org/10.3390/jcm11113127" TargetMode="External" /><Relationship Type="http://schemas.openxmlformats.org/officeDocument/2006/relationships/hyperlink" Id="rId464"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14" Target="https://doi.org/110.1037/met0000647" TargetMode="External" /><Relationship Type="http://schemas.openxmlformats.org/officeDocument/2006/relationships/hyperlink" Id="rId635" Target="https://doi.org/doi:10.1161/HYPERTENSIONAHA.115.06610" TargetMode="External" /><Relationship Type="http://schemas.openxmlformats.org/officeDocument/2006/relationships/hyperlink" Id="rId623" Target="https://doi.org/doi:10.1161/HYPERTENSIONAHA.118.11686" TargetMode="External" /><Relationship Type="http://schemas.openxmlformats.org/officeDocument/2006/relationships/hyperlink" Id="rId661" Target="https://doi.org/doi:10.1161/HYPERTENSIONAHA.119.14168" TargetMode="External" /><Relationship Type="http://schemas.openxmlformats.org/officeDocument/2006/relationships/hyperlink" Id="rId621" Target="https://doi.org/doi:10.1161/JAHA.118.009847" TargetMode="External" /><Relationship Type="http://schemas.openxmlformats.org/officeDocument/2006/relationships/hyperlink" Id="rId563" Target="https://fsl.fmrib.ox.ac.uk/fsl/" TargetMode="External" /><Relationship Type="http://schemas.openxmlformats.org/officeDocument/2006/relationships/hyperlink" Id="rId566"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60"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58"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2025-08-19T13:32:27Z</dcterms:created>
  <dcterms:modified xsi:type="dcterms:W3CDTF">2025-08-19T13:32:27Z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